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6154" w:rsidRPr="00486705" w:rsidRDefault="00794A72" w:rsidP="002121D3">
      <w:pPr>
        <w:spacing w:after="0"/>
        <w:jc w:val="right"/>
        <w:rPr>
          <w:rFonts w:asciiTheme="majorHAnsi" w:hAnsiTheme="majorHAnsi"/>
        </w:rPr>
      </w:pPr>
      <w:r>
        <w:rPr>
          <w:rFonts w:asciiTheme="majorHAnsi" w:hAnsiTheme="majorHAnsi"/>
        </w:rPr>
        <w:t>(miejsce</w:t>
      </w:r>
      <w:r w:rsidR="005B5F68">
        <w:rPr>
          <w:rFonts w:asciiTheme="majorHAnsi" w:hAnsiTheme="majorHAnsi"/>
        </w:rPr>
        <w:t>,</w:t>
      </w:r>
      <w:r w:rsidR="00F549FF" w:rsidRPr="00486705">
        <w:rPr>
          <w:rFonts w:asciiTheme="majorHAnsi" w:hAnsiTheme="majorHAnsi"/>
        </w:rPr>
        <w:t xml:space="preserve"> </w:t>
      </w:r>
      <w:r>
        <w:rPr>
          <w:rFonts w:asciiTheme="majorHAnsi" w:hAnsiTheme="majorHAnsi"/>
        </w:rPr>
        <w:t>data………..)</w:t>
      </w:r>
      <w:r w:rsidR="00F549FF" w:rsidRPr="00486705">
        <w:rPr>
          <w:rFonts w:asciiTheme="majorHAnsi" w:hAnsiTheme="majorHAnsi"/>
        </w:rPr>
        <w:t xml:space="preserve">. </w:t>
      </w:r>
    </w:p>
    <w:p w:rsidR="00F31A39" w:rsidRDefault="00F31A39" w:rsidP="00F31A39">
      <w:pPr>
        <w:ind w:left="4248"/>
        <w:jc w:val="both"/>
        <w:rPr>
          <w:rFonts w:asciiTheme="majorHAnsi" w:hAnsiTheme="majorHAnsi"/>
        </w:rPr>
      </w:pPr>
    </w:p>
    <w:p w:rsidR="00F31A39" w:rsidRDefault="00F31A39" w:rsidP="00F31A39">
      <w:pPr>
        <w:ind w:left="4248"/>
        <w:jc w:val="both"/>
        <w:rPr>
          <w:rFonts w:asciiTheme="majorHAnsi" w:hAnsiTheme="majorHAnsi"/>
        </w:rPr>
      </w:pPr>
    </w:p>
    <w:p w:rsidR="00F31A39" w:rsidRPr="00C92B73" w:rsidRDefault="00F31A39" w:rsidP="00F31A39">
      <w:pPr>
        <w:ind w:left="4248"/>
        <w:jc w:val="both"/>
        <w:rPr>
          <w:rFonts w:ascii="Cambria" w:hAnsi="Cambria"/>
          <w:b/>
        </w:rPr>
      </w:pPr>
      <w:r w:rsidRPr="00C92B73">
        <w:rPr>
          <w:rFonts w:ascii="Cambria" w:hAnsi="Cambria"/>
          <w:b/>
        </w:rPr>
        <w:t xml:space="preserve">Prokuratura Rejonowa </w:t>
      </w:r>
      <w:r w:rsidR="00794A72" w:rsidRPr="00794A72">
        <w:rPr>
          <w:rFonts w:ascii="Cambria" w:hAnsi="Cambria"/>
        </w:rPr>
        <w:t>(właściwa dla danego miejsca)</w:t>
      </w:r>
    </w:p>
    <w:p w:rsidR="00F31A39" w:rsidRDefault="00794A72" w:rsidP="00F31A39">
      <w:pPr>
        <w:ind w:left="4248"/>
        <w:jc w:val="both"/>
        <w:rPr>
          <w:rFonts w:ascii="Cambria" w:hAnsi="Cambria"/>
        </w:rPr>
      </w:pPr>
      <w:r>
        <w:rPr>
          <w:rFonts w:ascii="Cambria" w:hAnsi="Cambria"/>
        </w:rPr>
        <w:t>(adres)………………………..</w:t>
      </w:r>
    </w:p>
    <w:p w:rsidR="00794A72" w:rsidRPr="00C92B73" w:rsidRDefault="00794A72" w:rsidP="00F31A39">
      <w:pPr>
        <w:ind w:left="4248"/>
        <w:jc w:val="both"/>
        <w:rPr>
          <w:rFonts w:ascii="Cambria" w:hAnsi="Cambria"/>
        </w:rPr>
      </w:pPr>
      <w:r>
        <w:rPr>
          <w:rFonts w:ascii="Cambria" w:hAnsi="Cambria"/>
        </w:rPr>
        <w:t>…………………………………..</w:t>
      </w:r>
    </w:p>
    <w:p w:rsidR="00982B34" w:rsidRPr="00486705" w:rsidRDefault="00982B34" w:rsidP="00670E6A">
      <w:pPr>
        <w:spacing w:after="0"/>
        <w:ind w:left="3828"/>
        <w:jc w:val="right"/>
        <w:rPr>
          <w:rFonts w:asciiTheme="majorHAnsi" w:hAnsiTheme="majorHAnsi"/>
        </w:rPr>
      </w:pPr>
    </w:p>
    <w:p w:rsidR="00670E6A" w:rsidRPr="00486705" w:rsidRDefault="00670E6A" w:rsidP="00670E6A">
      <w:pPr>
        <w:spacing w:after="0"/>
        <w:ind w:left="3828"/>
        <w:rPr>
          <w:rFonts w:asciiTheme="majorHAnsi" w:hAnsiTheme="majorHAnsi"/>
          <w:b/>
        </w:rPr>
      </w:pPr>
    </w:p>
    <w:p w:rsidR="00641C60" w:rsidRPr="00486705" w:rsidRDefault="00641C60" w:rsidP="00670E6A">
      <w:pPr>
        <w:spacing w:after="0"/>
        <w:ind w:left="3828"/>
        <w:rPr>
          <w:rFonts w:asciiTheme="majorHAnsi" w:hAnsiTheme="majorHAnsi"/>
          <w:b/>
        </w:rPr>
      </w:pPr>
    </w:p>
    <w:p w:rsidR="00670E6A" w:rsidRPr="00486705" w:rsidRDefault="00F31A39" w:rsidP="00670E6A">
      <w:pPr>
        <w:spacing w:after="0"/>
        <w:ind w:left="3828"/>
        <w:rPr>
          <w:rFonts w:asciiTheme="majorHAnsi" w:hAnsiTheme="majorHAnsi"/>
          <w:b/>
        </w:rPr>
      </w:pPr>
      <w:r>
        <w:rPr>
          <w:rFonts w:asciiTheme="majorHAnsi" w:hAnsiTheme="majorHAnsi"/>
          <w:b/>
        </w:rPr>
        <w:tab/>
      </w:r>
      <w:r w:rsidR="00A04166" w:rsidRPr="00486705">
        <w:rPr>
          <w:rFonts w:asciiTheme="majorHAnsi" w:hAnsiTheme="majorHAnsi"/>
          <w:b/>
        </w:rPr>
        <w:t>Zawiadamiający</w:t>
      </w:r>
      <w:r w:rsidR="001D7ED7" w:rsidRPr="00486705">
        <w:rPr>
          <w:rFonts w:asciiTheme="majorHAnsi" w:hAnsiTheme="majorHAnsi"/>
          <w:b/>
        </w:rPr>
        <w:t>:</w:t>
      </w:r>
    </w:p>
    <w:p w:rsidR="00670E6A" w:rsidRPr="00486705" w:rsidRDefault="00670E6A" w:rsidP="00670E6A">
      <w:pPr>
        <w:spacing w:after="0"/>
        <w:ind w:left="3828"/>
        <w:rPr>
          <w:rFonts w:asciiTheme="majorHAnsi" w:hAnsiTheme="majorHAnsi"/>
        </w:rPr>
      </w:pPr>
    </w:p>
    <w:p w:rsidR="001D7ED7" w:rsidRPr="00486705" w:rsidRDefault="00F31A39" w:rsidP="00670E6A">
      <w:pPr>
        <w:spacing w:after="0"/>
        <w:ind w:left="3828"/>
        <w:rPr>
          <w:rFonts w:asciiTheme="majorHAnsi" w:hAnsiTheme="majorHAnsi"/>
        </w:rPr>
      </w:pPr>
      <w:r>
        <w:rPr>
          <w:rFonts w:asciiTheme="majorHAnsi" w:hAnsiTheme="majorHAnsi"/>
        </w:rPr>
        <w:tab/>
        <w:t xml:space="preserve">Imię i nazwisko:  </w:t>
      </w:r>
      <w:r w:rsidR="00670E6A" w:rsidRPr="00486705">
        <w:rPr>
          <w:rFonts w:asciiTheme="majorHAnsi" w:hAnsiTheme="majorHAnsi"/>
        </w:rPr>
        <w:t>_________</w:t>
      </w:r>
      <w:r>
        <w:rPr>
          <w:rFonts w:asciiTheme="majorHAnsi" w:hAnsiTheme="majorHAnsi"/>
        </w:rPr>
        <w:t>____________________________</w:t>
      </w:r>
    </w:p>
    <w:p w:rsidR="00670E6A" w:rsidRPr="00486705" w:rsidRDefault="00670E6A" w:rsidP="00670E6A">
      <w:pPr>
        <w:spacing w:after="0"/>
        <w:ind w:left="3828"/>
        <w:rPr>
          <w:rFonts w:asciiTheme="majorHAnsi" w:hAnsiTheme="majorHAnsi"/>
        </w:rPr>
      </w:pPr>
    </w:p>
    <w:p w:rsidR="00670E6A" w:rsidRPr="00486705" w:rsidRDefault="00F31A39" w:rsidP="00670E6A">
      <w:pPr>
        <w:spacing w:after="0"/>
        <w:ind w:left="3828"/>
        <w:rPr>
          <w:rFonts w:asciiTheme="majorHAnsi" w:hAnsiTheme="majorHAnsi"/>
        </w:rPr>
      </w:pPr>
      <w:r>
        <w:rPr>
          <w:rFonts w:asciiTheme="majorHAnsi" w:hAnsiTheme="majorHAnsi"/>
        </w:rPr>
        <w:tab/>
        <w:t xml:space="preserve">Adres:   </w:t>
      </w:r>
      <w:r w:rsidR="00670E6A" w:rsidRPr="00486705">
        <w:rPr>
          <w:rFonts w:asciiTheme="majorHAnsi" w:hAnsiTheme="majorHAnsi"/>
        </w:rPr>
        <w:t>_________________________________________</w:t>
      </w:r>
      <w:r>
        <w:rPr>
          <w:rFonts w:asciiTheme="majorHAnsi" w:hAnsiTheme="majorHAnsi"/>
        </w:rPr>
        <w:t>_______</w:t>
      </w:r>
    </w:p>
    <w:p w:rsidR="00982B34" w:rsidRPr="00486705" w:rsidRDefault="00982B34" w:rsidP="00486705">
      <w:pPr>
        <w:spacing w:after="0"/>
        <w:jc w:val="both"/>
        <w:rPr>
          <w:rFonts w:asciiTheme="majorHAnsi" w:hAnsiTheme="majorHAnsi"/>
        </w:rPr>
      </w:pPr>
    </w:p>
    <w:p w:rsidR="00641C60" w:rsidRPr="00486705" w:rsidRDefault="00641C60" w:rsidP="002121D3">
      <w:pPr>
        <w:spacing w:after="0"/>
        <w:ind w:left="5245"/>
        <w:jc w:val="both"/>
        <w:rPr>
          <w:rFonts w:asciiTheme="majorHAnsi" w:hAnsiTheme="majorHAnsi"/>
        </w:rPr>
      </w:pPr>
    </w:p>
    <w:p w:rsidR="00641C60" w:rsidRPr="00486705" w:rsidRDefault="00641C60" w:rsidP="002121D3">
      <w:pPr>
        <w:spacing w:after="0"/>
        <w:jc w:val="center"/>
        <w:rPr>
          <w:rFonts w:asciiTheme="majorHAnsi" w:hAnsiTheme="majorHAnsi"/>
          <w:b/>
          <w:u w:val="single"/>
        </w:rPr>
      </w:pPr>
    </w:p>
    <w:p w:rsidR="00442CBB" w:rsidRPr="00486705" w:rsidRDefault="001F2F7F" w:rsidP="002121D3">
      <w:pPr>
        <w:spacing w:after="0"/>
        <w:jc w:val="center"/>
        <w:rPr>
          <w:rFonts w:asciiTheme="majorHAnsi" w:hAnsiTheme="majorHAnsi"/>
          <w:b/>
          <w:u w:val="single"/>
        </w:rPr>
      </w:pPr>
      <w:r w:rsidRPr="00486705">
        <w:rPr>
          <w:rFonts w:asciiTheme="majorHAnsi" w:hAnsiTheme="majorHAnsi"/>
          <w:b/>
          <w:u w:val="single"/>
        </w:rPr>
        <w:t>ZAWIADOMIENIE O MOŻLIWOŚCI POPEŁNIENIA PRZESTĘPSTWA</w:t>
      </w:r>
    </w:p>
    <w:p w:rsidR="00982B34" w:rsidRPr="00486705" w:rsidRDefault="001D7ED7" w:rsidP="002121D3">
      <w:pPr>
        <w:spacing w:after="0"/>
        <w:jc w:val="center"/>
        <w:rPr>
          <w:rFonts w:asciiTheme="majorHAnsi" w:hAnsiTheme="majorHAnsi"/>
          <w:u w:val="single"/>
        </w:rPr>
      </w:pPr>
      <w:r w:rsidRPr="00486705">
        <w:rPr>
          <w:rFonts w:asciiTheme="majorHAnsi" w:hAnsiTheme="majorHAnsi"/>
          <w:u w:val="single"/>
        </w:rPr>
        <w:t xml:space="preserve">z art. 196 KK w zw. z art. 18 </w:t>
      </w:r>
      <w:bookmarkStart w:id="0" w:name="mip35810079"/>
      <w:bookmarkEnd w:id="0"/>
      <w:r w:rsidRPr="00486705">
        <w:rPr>
          <w:rFonts w:asciiTheme="majorHAnsi" w:hAnsiTheme="majorHAnsi"/>
          <w:u w:val="single"/>
        </w:rPr>
        <w:t>§ 1 KK</w:t>
      </w:r>
      <w:r w:rsidR="009266C7" w:rsidRPr="00486705">
        <w:rPr>
          <w:rFonts w:asciiTheme="majorHAnsi" w:hAnsiTheme="majorHAnsi"/>
          <w:u w:val="single"/>
        </w:rPr>
        <w:t xml:space="preserve"> oraz art. 257 KK w zw. z art. 18 § 1 KK</w:t>
      </w:r>
    </w:p>
    <w:p w:rsidR="00982B34" w:rsidRPr="00486705" w:rsidRDefault="00982B34" w:rsidP="002121D3">
      <w:pPr>
        <w:spacing w:after="0"/>
        <w:jc w:val="center"/>
        <w:rPr>
          <w:rFonts w:asciiTheme="majorHAnsi" w:hAnsiTheme="majorHAnsi"/>
          <w:b/>
        </w:rPr>
      </w:pPr>
    </w:p>
    <w:p w:rsidR="00641C60" w:rsidRPr="00486705" w:rsidRDefault="00641C60" w:rsidP="001D7ED7">
      <w:pPr>
        <w:spacing w:after="0"/>
        <w:jc w:val="both"/>
        <w:rPr>
          <w:rFonts w:asciiTheme="majorHAnsi" w:hAnsiTheme="majorHAnsi"/>
        </w:rPr>
      </w:pPr>
    </w:p>
    <w:p w:rsidR="001D7ED7" w:rsidRPr="00486705" w:rsidRDefault="00F141A7" w:rsidP="00486705">
      <w:pPr>
        <w:spacing w:after="0"/>
        <w:ind w:firstLine="708"/>
        <w:jc w:val="both"/>
        <w:rPr>
          <w:rFonts w:asciiTheme="majorHAnsi" w:hAnsiTheme="majorHAnsi"/>
        </w:rPr>
      </w:pPr>
      <w:r w:rsidRPr="00486705">
        <w:rPr>
          <w:rFonts w:asciiTheme="majorHAnsi" w:hAnsiTheme="majorHAnsi"/>
        </w:rPr>
        <w:t>W imieniu własnym</w:t>
      </w:r>
      <w:r w:rsidR="00B51C9C" w:rsidRPr="00486705">
        <w:rPr>
          <w:rFonts w:asciiTheme="majorHAnsi" w:hAnsiTheme="majorHAnsi"/>
        </w:rPr>
        <w:t xml:space="preserve">, </w:t>
      </w:r>
      <w:r w:rsidR="001D7ED7" w:rsidRPr="00486705">
        <w:rPr>
          <w:rFonts w:asciiTheme="majorHAnsi" w:hAnsiTheme="majorHAnsi"/>
        </w:rPr>
        <w:t>na podstawie art. 304 § 1 KPK zawiadamiam o moż</w:t>
      </w:r>
      <w:r w:rsidR="009266C7" w:rsidRPr="00486705">
        <w:rPr>
          <w:rFonts w:asciiTheme="majorHAnsi" w:hAnsiTheme="majorHAnsi"/>
        </w:rPr>
        <w:t>liwości popełnienia przestępstw</w:t>
      </w:r>
      <w:r w:rsidR="00462048">
        <w:rPr>
          <w:rFonts w:asciiTheme="majorHAnsi" w:hAnsiTheme="majorHAnsi"/>
        </w:rPr>
        <w:t>a</w:t>
      </w:r>
      <w:r w:rsidR="001D7ED7" w:rsidRPr="00486705">
        <w:rPr>
          <w:rFonts w:asciiTheme="majorHAnsi" w:hAnsiTheme="majorHAnsi"/>
        </w:rPr>
        <w:t xml:space="preserve"> z art. 196 KK w zw. z art. 18 §</w:t>
      </w:r>
      <w:r w:rsidR="00C55B19" w:rsidRPr="00486705">
        <w:rPr>
          <w:rFonts w:asciiTheme="majorHAnsi" w:hAnsiTheme="majorHAnsi"/>
        </w:rPr>
        <w:t xml:space="preserve"> 1 KK</w:t>
      </w:r>
      <w:r w:rsidR="009266C7" w:rsidRPr="00486705">
        <w:rPr>
          <w:rFonts w:asciiTheme="majorHAnsi" w:hAnsiTheme="majorHAnsi"/>
        </w:rPr>
        <w:t xml:space="preserve"> oraz z art. 257 KK w zw. z 18 § 1 KK</w:t>
      </w:r>
      <w:r w:rsidR="00C55B19" w:rsidRPr="00486705">
        <w:rPr>
          <w:rFonts w:asciiTheme="majorHAnsi" w:hAnsiTheme="majorHAnsi"/>
        </w:rPr>
        <w:t>, polegającego</w:t>
      </w:r>
      <w:r w:rsidR="001D7ED7" w:rsidRPr="00486705">
        <w:rPr>
          <w:rFonts w:asciiTheme="majorHAnsi" w:hAnsiTheme="majorHAnsi"/>
        </w:rPr>
        <w:t xml:space="preserve"> na tym, że:</w:t>
      </w:r>
    </w:p>
    <w:p w:rsidR="00C320AD" w:rsidRPr="00486705" w:rsidRDefault="00C320AD" w:rsidP="001D7ED7">
      <w:pPr>
        <w:spacing w:after="0"/>
        <w:jc w:val="both"/>
        <w:rPr>
          <w:rFonts w:asciiTheme="majorHAnsi" w:hAnsiTheme="majorHAnsi"/>
        </w:rPr>
      </w:pPr>
    </w:p>
    <w:p w:rsidR="00AC688C" w:rsidRDefault="000C4DAB" w:rsidP="00AC688C">
      <w:pPr>
        <w:spacing w:after="0"/>
        <w:ind w:firstLine="360"/>
        <w:jc w:val="both"/>
        <w:rPr>
          <w:rFonts w:asciiTheme="majorHAnsi" w:hAnsiTheme="majorHAnsi"/>
        </w:rPr>
      </w:pPr>
      <w:r w:rsidRPr="00486705">
        <w:rPr>
          <w:rFonts w:asciiTheme="majorHAnsi" w:hAnsiTheme="majorHAnsi"/>
        </w:rPr>
        <w:t xml:space="preserve">W dniu </w:t>
      </w:r>
      <w:r w:rsidR="00794A72">
        <w:rPr>
          <w:rFonts w:asciiTheme="majorHAnsi" w:hAnsiTheme="majorHAnsi"/>
        </w:rPr>
        <w:t>(kiedy?)……………………</w:t>
      </w:r>
      <w:r w:rsidR="00EA0F0F" w:rsidRPr="00486705">
        <w:rPr>
          <w:rFonts w:asciiTheme="majorHAnsi" w:hAnsiTheme="majorHAnsi"/>
        </w:rPr>
        <w:t>,</w:t>
      </w:r>
      <w:r w:rsidR="006B64BF" w:rsidRPr="00486705">
        <w:rPr>
          <w:rFonts w:asciiTheme="majorHAnsi" w:hAnsiTheme="majorHAnsi"/>
        </w:rPr>
        <w:t xml:space="preserve"> </w:t>
      </w:r>
      <w:r w:rsidR="00794A72">
        <w:rPr>
          <w:rFonts w:asciiTheme="majorHAnsi" w:hAnsiTheme="majorHAnsi"/>
        </w:rPr>
        <w:t>(kto?)………………</w:t>
      </w:r>
      <w:r w:rsidR="0013452A">
        <w:rPr>
          <w:rFonts w:asciiTheme="majorHAnsi" w:hAnsiTheme="majorHAnsi"/>
        </w:rPr>
        <w:t xml:space="preserve"> </w:t>
      </w:r>
      <w:r w:rsidR="00074FE0" w:rsidRPr="00486705">
        <w:rPr>
          <w:rFonts w:asciiTheme="majorHAnsi" w:hAnsiTheme="majorHAnsi"/>
        </w:rPr>
        <w:t xml:space="preserve">działając w zamiarze bezpośrednim, </w:t>
      </w:r>
      <w:r w:rsidR="00396825" w:rsidRPr="00486705">
        <w:rPr>
          <w:rFonts w:asciiTheme="majorHAnsi" w:hAnsiTheme="majorHAnsi"/>
        </w:rPr>
        <w:t>o</w:t>
      </w:r>
      <w:r w:rsidR="00AC688C">
        <w:rPr>
          <w:rFonts w:asciiTheme="majorHAnsi" w:hAnsiTheme="majorHAnsi"/>
        </w:rPr>
        <w:t>braził</w:t>
      </w:r>
      <w:r w:rsidR="003B2C15">
        <w:rPr>
          <w:rFonts w:asciiTheme="majorHAnsi" w:hAnsiTheme="majorHAnsi"/>
        </w:rPr>
        <w:t>/a</w:t>
      </w:r>
      <w:r w:rsidR="00AC688C">
        <w:rPr>
          <w:rFonts w:asciiTheme="majorHAnsi" w:hAnsiTheme="majorHAnsi"/>
        </w:rPr>
        <w:t xml:space="preserve"> moje</w:t>
      </w:r>
      <w:r w:rsidR="006B64BF" w:rsidRPr="00486705">
        <w:rPr>
          <w:rFonts w:asciiTheme="majorHAnsi" w:hAnsiTheme="majorHAnsi"/>
        </w:rPr>
        <w:t xml:space="preserve"> uczucia religijne</w:t>
      </w:r>
      <w:r w:rsidR="00A04166" w:rsidRPr="00486705">
        <w:rPr>
          <w:rFonts w:asciiTheme="majorHAnsi" w:hAnsiTheme="majorHAnsi"/>
        </w:rPr>
        <w:t xml:space="preserve"> oraz zn</w:t>
      </w:r>
      <w:r w:rsidR="003B2C15">
        <w:rPr>
          <w:rFonts w:asciiTheme="majorHAnsi" w:hAnsiTheme="majorHAnsi"/>
        </w:rPr>
        <w:t>ieważył/a</w:t>
      </w:r>
      <w:r w:rsidR="00AC688C">
        <w:rPr>
          <w:rFonts w:asciiTheme="majorHAnsi" w:hAnsiTheme="majorHAnsi"/>
        </w:rPr>
        <w:t xml:space="preserve"> grupę osób z powodu ich</w:t>
      </w:r>
      <w:r w:rsidR="00A04166" w:rsidRPr="00486705">
        <w:rPr>
          <w:rFonts w:asciiTheme="majorHAnsi" w:hAnsiTheme="majorHAnsi"/>
        </w:rPr>
        <w:t xml:space="preserve"> przynależności wyznaniowej</w:t>
      </w:r>
      <w:r w:rsidR="006B64BF" w:rsidRPr="00486705">
        <w:rPr>
          <w:rFonts w:asciiTheme="majorHAnsi" w:hAnsiTheme="majorHAnsi"/>
        </w:rPr>
        <w:t>, poprzez</w:t>
      </w:r>
      <w:r w:rsidR="00AC688C">
        <w:rPr>
          <w:rFonts w:asciiTheme="majorHAnsi" w:hAnsiTheme="majorHAnsi"/>
        </w:rPr>
        <w:t>:</w:t>
      </w:r>
    </w:p>
    <w:p w:rsidR="00462048" w:rsidRDefault="00462048" w:rsidP="00462048">
      <w:pPr>
        <w:pStyle w:val="Akapitzlist"/>
        <w:spacing w:after="0"/>
        <w:ind w:left="1080"/>
        <w:jc w:val="both"/>
        <w:rPr>
          <w:rFonts w:asciiTheme="majorHAnsi" w:hAnsiTheme="majorHAnsi"/>
          <w:u w:val="single"/>
        </w:rPr>
      </w:pPr>
    </w:p>
    <w:p w:rsidR="006B64BF" w:rsidRPr="00462048" w:rsidRDefault="00794A72" w:rsidP="00462048">
      <w:pPr>
        <w:pStyle w:val="Akapitzlist"/>
        <w:numPr>
          <w:ilvl w:val="0"/>
          <w:numId w:val="11"/>
        </w:numPr>
        <w:spacing w:after="0"/>
        <w:jc w:val="both"/>
        <w:rPr>
          <w:rFonts w:asciiTheme="majorHAnsi" w:hAnsiTheme="majorHAnsi"/>
        </w:rPr>
      </w:pPr>
      <w:r>
        <w:rPr>
          <w:rFonts w:asciiTheme="majorHAnsi" w:hAnsiTheme="majorHAnsi"/>
        </w:rPr>
        <w:t>(opis zdarzenia, wskazanie znamion czynu zabronionego)</w:t>
      </w:r>
      <w:r w:rsidR="00AC688C" w:rsidRPr="00462048">
        <w:rPr>
          <w:rFonts w:asciiTheme="majorHAnsi" w:hAnsiTheme="majorHAnsi"/>
        </w:rPr>
        <w:t>,</w:t>
      </w:r>
    </w:p>
    <w:p w:rsidR="00AC688C" w:rsidRDefault="00AC688C" w:rsidP="001D7ED7">
      <w:pPr>
        <w:spacing w:after="0"/>
        <w:jc w:val="both"/>
        <w:rPr>
          <w:rFonts w:asciiTheme="majorHAnsi" w:hAnsiTheme="majorHAnsi"/>
        </w:rPr>
      </w:pPr>
    </w:p>
    <w:p w:rsidR="000C4DAB" w:rsidRDefault="00C320AD" w:rsidP="001D7ED7">
      <w:pPr>
        <w:spacing w:after="0"/>
        <w:jc w:val="both"/>
        <w:rPr>
          <w:rFonts w:asciiTheme="majorHAnsi" w:hAnsiTheme="majorHAnsi"/>
        </w:rPr>
      </w:pPr>
      <w:r w:rsidRPr="00486705">
        <w:rPr>
          <w:rFonts w:asciiTheme="majorHAnsi" w:hAnsiTheme="majorHAnsi"/>
        </w:rPr>
        <w:t>c</w:t>
      </w:r>
      <w:r w:rsidR="00AC688C">
        <w:rPr>
          <w:rFonts w:asciiTheme="majorHAnsi" w:hAnsiTheme="majorHAnsi"/>
        </w:rPr>
        <w:t>zym wypełnił</w:t>
      </w:r>
      <w:r w:rsidR="003B2C15">
        <w:rPr>
          <w:rFonts w:asciiTheme="majorHAnsi" w:hAnsiTheme="majorHAnsi"/>
        </w:rPr>
        <w:t>/a</w:t>
      </w:r>
      <w:r w:rsidR="00AC688C">
        <w:rPr>
          <w:rFonts w:asciiTheme="majorHAnsi" w:hAnsiTheme="majorHAnsi"/>
        </w:rPr>
        <w:t xml:space="preserve"> on</w:t>
      </w:r>
      <w:r w:rsidR="000C4DAB" w:rsidRPr="00486705">
        <w:rPr>
          <w:rFonts w:asciiTheme="majorHAnsi" w:hAnsiTheme="majorHAnsi"/>
        </w:rPr>
        <w:t xml:space="preserve"> znamiona czynu z art. 196 KK </w:t>
      </w:r>
      <w:r w:rsidR="00BC55D8" w:rsidRPr="00486705">
        <w:rPr>
          <w:rFonts w:asciiTheme="majorHAnsi" w:hAnsiTheme="majorHAnsi"/>
        </w:rPr>
        <w:t xml:space="preserve">oraz z art. 257 </w:t>
      </w:r>
      <w:r w:rsidR="009266C7" w:rsidRPr="00486705">
        <w:rPr>
          <w:rFonts w:asciiTheme="majorHAnsi" w:hAnsiTheme="majorHAnsi"/>
        </w:rPr>
        <w:t>KK</w:t>
      </w:r>
      <w:r w:rsidR="000C4DAB" w:rsidRPr="00486705">
        <w:rPr>
          <w:rFonts w:asciiTheme="majorHAnsi" w:hAnsiTheme="majorHAnsi"/>
        </w:rPr>
        <w:t>.</w:t>
      </w:r>
    </w:p>
    <w:p w:rsidR="00F31A39" w:rsidRDefault="00F31A39" w:rsidP="001D7ED7">
      <w:pPr>
        <w:spacing w:after="0"/>
        <w:jc w:val="both"/>
        <w:rPr>
          <w:rFonts w:asciiTheme="majorHAnsi" w:hAnsiTheme="majorHAnsi"/>
        </w:rPr>
      </w:pPr>
    </w:p>
    <w:p w:rsidR="00F31A39" w:rsidRPr="00F31A39" w:rsidRDefault="00F31A39" w:rsidP="00F31A39">
      <w:pPr>
        <w:spacing w:after="240"/>
        <w:jc w:val="both"/>
        <w:rPr>
          <w:rFonts w:ascii="Cambria" w:hAnsi="Cambria" w:cs="Arial"/>
          <w:shd w:val="clear" w:color="auto" w:fill="FFFFFF"/>
        </w:rPr>
      </w:pPr>
      <w:r>
        <w:rPr>
          <w:rFonts w:ascii="Cambria" w:hAnsi="Cambria" w:cs="Arial"/>
          <w:shd w:val="clear" w:color="auto" w:fill="FFFFFF"/>
        </w:rPr>
        <w:t>Wnoszę</w:t>
      </w:r>
      <w:r w:rsidRPr="00F31A39">
        <w:rPr>
          <w:rFonts w:ascii="Cambria" w:hAnsi="Cambria" w:cs="Arial"/>
          <w:shd w:val="clear" w:color="auto" w:fill="FFFFFF"/>
        </w:rPr>
        <w:t xml:space="preserve"> o:</w:t>
      </w:r>
    </w:p>
    <w:p w:rsidR="00F31A39" w:rsidRPr="00F31A39" w:rsidRDefault="00F31A39" w:rsidP="00EE3F25">
      <w:pPr>
        <w:pStyle w:val="Akapitzlist"/>
        <w:numPr>
          <w:ilvl w:val="0"/>
          <w:numId w:val="11"/>
        </w:numPr>
        <w:spacing w:after="240"/>
        <w:contextualSpacing w:val="0"/>
        <w:jc w:val="both"/>
        <w:rPr>
          <w:rFonts w:ascii="Cambria" w:hAnsi="Cambria" w:cs="Arial"/>
          <w:shd w:val="clear" w:color="auto" w:fill="FFFFFF"/>
        </w:rPr>
      </w:pPr>
      <w:r w:rsidRPr="00F31A39">
        <w:rPr>
          <w:rFonts w:ascii="Cambria" w:hAnsi="Cambria" w:cs="Arial"/>
          <w:shd w:val="clear" w:color="auto" w:fill="FFFFFF"/>
        </w:rPr>
        <w:t>wszczęcie w przedmiotowej sprawie postępowania przygotowawczego, śc</w:t>
      </w:r>
      <w:r>
        <w:rPr>
          <w:rFonts w:ascii="Cambria" w:hAnsi="Cambria" w:cs="Arial"/>
          <w:shd w:val="clear" w:color="auto" w:fill="FFFFFF"/>
        </w:rPr>
        <w:t>iganie i ukaranie sprawcy</w:t>
      </w:r>
      <w:r w:rsidR="00EE3F25">
        <w:rPr>
          <w:rFonts w:ascii="Cambria" w:hAnsi="Cambria" w:cs="Arial"/>
          <w:shd w:val="clear" w:color="auto" w:fill="FFFFFF"/>
        </w:rPr>
        <w:t>.</w:t>
      </w:r>
    </w:p>
    <w:p w:rsidR="00F31A39" w:rsidRPr="00486705" w:rsidRDefault="00F31A39" w:rsidP="001D7ED7">
      <w:pPr>
        <w:spacing w:after="0"/>
        <w:jc w:val="both"/>
        <w:rPr>
          <w:rFonts w:asciiTheme="majorHAnsi" w:hAnsiTheme="majorHAnsi"/>
        </w:rPr>
      </w:pPr>
    </w:p>
    <w:p w:rsidR="00670E6A" w:rsidRDefault="00670E6A" w:rsidP="002121D3">
      <w:pPr>
        <w:spacing w:after="0"/>
        <w:jc w:val="center"/>
        <w:rPr>
          <w:rFonts w:asciiTheme="majorHAnsi" w:hAnsiTheme="majorHAnsi"/>
          <w:b/>
          <w:u w:val="single"/>
        </w:rPr>
      </w:pPr>
    </w:p>
    <w:p w:rsidR="00F31A39" w:rsidRPr="00486705" w:rsidRDefault="00F31A39" w:rsidP="002121D3">
      <w:pPr>
        <w:spacing w:after="0"/>
        <w:jc w:val="center"/>
        <w:rPr>
          <w:rFonts w:asciiTheme="majorHAnsi" w:hAnsiTheme="majorHAnsi"/>
          <w:b/>
          <w:u w:val="single"/>
        </w:rPr>
      </w:pPr>
    </w:p>
    <w:p w:rsidR="00670E6A" w:rsidRPr="00486705" w:rsidRDefault="00670E6A" w:rsidP="002121D3">
      <w:pPr>
        <w:spacing w:after="0"/>
        <w:jc w:val="center"/>
        <w:rPr>
          <w:rFonts w:asciiTheme="majorHAnsi" w:hAnsiTheme="majorHAnsi"/>
          <w:b/>
          <w:u w:val="single"/>
        </w:rPr>
      </w:pPr>
    </w:p>
    <w:p w:rsidR="00641C60" w:rsidRPr="00486705" w:rsidRDefault="00641C60" w:rsidP="00641C60">
      <w:pPr>
        <w:spacing w:after="0"/>
        <w:rPr>
          <w:rFonts w:asciiTheme="majorHAnsi" w:hAnsiTheme="majorHAnsi"/>
          <w:b/>
          <w:u w:val="single"/>
        </w:rPr>
      </w:pPr>
    </w:p>
    <w:p w:rsidR="00670E6A" w:rsidRPr="00486705" w:rsidRDefault="00670E6A" w:rsidP="002121D3">
      <w:pPr>
        <w:spacing w:after="0"/>
        <w:jc w:val="center"/>
        <w:rPr>
          <w:rFonts w:asciiTheme="majorHAnsi" w:hAnsiTheme="majorHAnsi"/>
          <w:b/>
          <w:u w:val="single"/>
        </w:rPr>
      </w:pPr>
    </w:p>
    <w:p w:rsidR="009A6128" w:rsidRPr="00486705" w:rsidRDefault="009A6128" w:rsidP="002121D3">
      <w:pPr>
        <w:spacing w:after="0"/>
        <w:jc w:val="center"/>
        <w:rPr>
          <w:rFonts w:asciiTheme="majorHAnsi" w:hAnsiTheme="majorHAnsi"/>
          <w:b/>
          <w:u w:val="single"/>
        </w:rPr>
      </w:pPr>
      <w:r w:rsidRPr="00486705">
        <w:rPr>
          <w:rFonts w:asciiTheme="majorHAnsi" w:hAnsiTheme="majorHAnsi"/>
          <w:b/>
          <w:u w:val="single"/>
        </w:rPr>
        <w:t>Uzasadnienie</w:t>
      </w:r>
    </w:p>
    <w:p w:rsidR="00C71BAB" w:rsidRPr="00486705" w:rsidRDefault="00C71BAB" w:rsidP="00A95BBE">
      <w:pPr>
        <w:spacing w:after="0"/>
        <w:jc w:val="both"/>
        <w:rPr>
          <w:rFonts w:asciiTheme="majorHAnsi" w:hAnsiTheme="majorHAnsi"/>
          <w:b/>
        </w:rPr>
      </w:pPr>
    </w:p>
    <w:p w:rsidR="003D4C8A" w:rsidRPr="00486705" w:rsidRDefault="003D4C8A" w:rsidP="003D4C8A">
      <w:pPr>
        <w:spacing w:after="0"/>
        <w:jc w:val="both"/>
        <w:rPr>
          <w:rFonts w:asciiTheme="majorHAnsi" w:hAnsiTheme="majorHAnsi"/>
          <w:b/>
          <w:u w:val="single"/>
        </w:rPr>
      </w:pPr>
      <w:r w:rsidRPr="00486705">
        <w:rPr>
          <w:rFonts w:asciiTheme="majorHAnsi" w:hAnsiTheme="majorHAnsi"/>
          <w:b/>
          <w:u w:val="single"/>
        </w:rPr>
        <w:t>Opis zdarzenia</w:t>
      </w:r>
    </w:p>
    <w:p w:rsidR="00A95BBE" w:rsidRDefault="003B2C15" w:rsidP="00A95BBE">
      <w:pPr>
        <w:spacing w:after="0"/>
        <w:jc w:val="both"/>
        <w:rPr>
          <w:rFonts w:asciiTheme="majorHAnsi" w:hAnsiTheme="majorHAnsi"/>
        </w:rPr>
      </w:pPr>
      <w:r>
        <w:rPr>
          <w:rFonts w:asciiTheme="majorHAnsi" w:hAnsiTheme="majorHAnsi"/>
        </w:rPr>
        <w:t>(</w:t>
      </w:r>
      <w:r w:rsidR="00794A72">
        <w:rPr>
          <w:rFonts w:asciiTheme="majorHAnsi" w:hAnsiTheme="majorHAnsi"/>
        </w:rPr>
        <w:t>…………………………………………………………………</w:t>
      </w:r>
      <w:r>
        <w:rPr>
          <w:rFonts w:asciiTheme="majorHAnsi" w:hAnsiTheme="majorHAnsi"/>
        </w:rPr>
        <w:t>)</w:t>
      </w:r>
    </w:p>
    <w:p w:rsidR="00794A72" w:rsidRPr="00486705" w:rsidRDefault="00794A72" w:rsidP="00A95BBE">
      <w:pPr>
        <w:spacing w:after="0"/>
        <w:jc w:val="both"/>
        <w:rPr>
          <w:rFonts w:asciiTheme="majorHAnsi" w:hAnsiTheme="majorHAnsi"/>
        </w:rPr>
      </w:pPr>
    </w:p>
    <w:p w:rsidR="003D4C8A" w:rsidRDefault="003D4C8A" w:rsidP="00A95BBE">
      <w:pPr>
        <w:spacing w:after="0"/>
        <w:jc w:val="both"/>
        <w:rPr>
          <w:rFonts w:asciiTheme="majorHAnsi" w:hAnsiTheme="majorHAnsi"/>
          <w:b/>
          <w:u w:val="single"/>
        </w:rPr>
      </w:pPr>
      <w:r w:rsidRPr="00486705">
        <w:rPr>
          <w:rFonts w:asciiTheme="majorHAnsi" w:hAnsiTheme="majorHAnsi"/>
          <w:b/>
          <w:u w:val="single"/>
        </w:rPr>
        <w:t>Kwalifikacja prawna</w:t>
      </w:r>
      <w:r w:rsidR="009929D7" w:rsidRPr="00486705">
        <w:rPr>
          <w:rFonts w:asciiTheme="majorHAnsi" w:hAnsiTheme="majorHAnsi"/>
          <w:b/>
          <w:u w:val="single"/>
        </w:rPr>
        <w:t xml:space="preserve"> – art. 196 KK obraza uczuć religijnych </w:t>
      </w:r>
    </w:p>
    <w:p w:rsidR="00486705" w:rsidRPr="00486705" w:rsidRDefault="00486705" w:rsidP="00A95BBE">
      <w:pPr>
        <w:spacing w:after="0"/>
        <w:jc w:val="both"/>
        <w:rPr>
          <w:rFonts w:asciiTheme="majorHAnsi" w:hAnsiTheme="majorHAnsi"/>
          <w:b/>
          <w:u w:val="single"/>
        </w:rPr>
      </w:pPr>
    </w:p>
    <w:p w:rsidR="00282C21" w:rsidRPr="00486705" w:rsidRDefault="00C15025" w:rsidP="003D4C8A">
      <w:pPr>
        <w:spacing w:after="0"/>
        <w:ind w:firstLine="708"/>
        <w:jc w:val="both"/>
        <w:rPr>
          <w:rFonts w:asciiTheme="majorHAnsi" w:hAnsiTheme="majorHAnsi"/>
          <w:i/>
        </w:rPr>
      </w:pPr>
      <w:r>
        <w:rPr>
          <w:rFonts w:asciiTheme="majorHAnsi" w:hAnsiTheme="majorHAnsi"/>
        </w:rPr>
        <w:t>Wskazany i opisany czyn niewątpliwie wypełnia</w:t>
      </w:r>
      <w:r w:rsidR="009526B2" w:rsidRPr="00486705">
        <w:rPr>
          <w:rFonts w:asciiTheme="majorHAnsi" w:hAnsiTheme="majorHAnsi"/>
        </w:rPr>
        <w:t xml:space="preserve"> znamiona czynu z art. 196 KK o treści: </w:t>
      </w:r>
      <w:r w:rsidR="009526B2" w:rsidRPr="00486705">
        <w:rPr>
          <w:rFonts w:asciiTheme="majorHAnsi" w:hAnsiTheme="majorHAnsi"/>
          <w:i/>
        </w:rPr>
        <w:t>Kto obraża uczucia religijne innych osób, znieważając publicznie przedmiot czci religijnej lub miejsce przeznaczone do publicznego wykonywania obrzędów religijnych, podlega grzywnie, karze ograniczenia wolności albo pozbawienia wolności do lat 2.</w:t>
      </w:r>
    </w:p>
    <w:p w:rsidR="003D4C8A" w:rsidRPr="00486705" w:rsidRDefault="00282C21" w:rsidP="00C71BAB">
      <w:pPr>
        <w:spacing w:after="0"/>
        <w:ind w:firstLine="708"/>
        <w:jc w:val="both"/>
        <w:rPr>
          <w:rFonts w:asciiTheme="majorHAnsi" w:hAnsiTheme="majorHAnsi"/>
        </w:rPr>
      </w:pPr>
      <w:r w:rsidRPr="00486705">
        <w:rPr>
          <w:rFonts w:asciiTheme="majorHAnsi" w:hAnsiTheme="majorHAnsi"/>
        </w:rPr>
        <w:t xml:space="preserve">Przedmiotem ochrony art. 196 KK są uczucia religijne, czyli </w:t>
      </w:r>
      <w:r w:rsidRPr="00486705">
        <w:rPr>
          <w:rFonts w:asciiTheme="majorHAnsi" w:hAnsiTheme="majorHAnsi"/>
          <w:i/>
        </w:rPr>
        <w:t>pewien stosunek (przede wszystkim emocjonalny) określonej grupy do wyznawanej przez siebie wiary przejawiający się także w prawie do ochrony szacunku wobec wyznawanych przez nią wartości oraz miejsc i przedmiotów otaczanych czcią</w:t>
      </w:r>
      <w:r w:rsidRPr="00486705">
        <w:rPr>
          <w:rFonts w:asciiTheme="majorHAnsi" w:hAnsiTheme="majorHAnsi"/>
        </w:rPr>
        <w:t xml:space="preserve"> (</w:t>
      </w:r>
      <w:r w:rsidR="008B6CFB" w:rsidRPr="00486705">
        <w:rPr>
          <w:rFonts w:asciiTheme="majorHAnsi" w:hAnsiTheme="majorHAnsi"/>
        </w:rPr>
        <w:t xml:space="preserve">S. Hypś, w: </w:t>
      </w:r>
      <w:r w:rsidRPr="00486705">
        <w:rPr>
          <w:rFonts w:asciiTheme="majorHAnsi" w:hAnsiTheme="majorHAnsi"/>
        </w:rPr>
        <w:t>Kodeks karny. Komentarz, red. A. Grześkowiak, K. Wiak, Warszawa 2015, s. 976). O obrazie tych uczuć można mówić w sytuacji</w:t>
      </w:r>
      <w:r w:rsidR="008B6CFB" w:rsidRPr="00486705">
        <w:rPr>
          <w:rFonts w:asciiTheme="majorHAnsi" w:hAnsiTheme="majorHAnsi"/>
        </w:rPr>
        <w:t>, gdy działanie sprawcy wywołuje</w:t>
      </w:r>
      <w:r w:rsidRPr="00486705">
        <w:rPr>
          <w:rFonts w:asciiTheme="majorHAnsi" w:hAnsiTheme="majorHAnsi"/>
        </w:rPr>
        <w:t xml:space="preserve"> </w:t>
      </w:r>
      <w:r w:rsidR="008B6CFB" w:rsidRPr="00486705">
        <w:rPr>
          <w:rFonts w:asciiTheme="majorHAnsi" w:hAnsiTheme="majorHAnsi"/>
          <w:i/>
        </w:rPr>
        <w:t>reakcję</w:t>
      </w:r>
      <w:r w:rsidRPr="00486705">
        <w:rPr>
          <w:rFonts w:asciiTheme="majorHAnsi" w:hAnsiTheme="majorHAnsi"/>
          <w:i/>
        </w:rPr>
        <w:t xml:space="preserve"> emocjonalną danej osoby związaną z poniżającym zachowaniem wobec przedmiotu, znaku, symbolu (…), której może towarzyszyć poczucie naruszenia godności, uczucie zawstydzenia, zażenowaniu, smutku. Obrazą uczuć religijnych będzie negatywna reakcja wykraczająca poza samą negatywną ocenę danego poglądu, wypowiedzi odniesionej do p</w:t>
      </w:r>
      <w:r w:rsidR="008B6CFB" w:rsidRPr="00486705">
        <w:rPr>
          <w:rFonts w:asciiTheme="majorHAnsi" w:hAnsiTheme="majorHAnsi"/>
          <w:i/>
        </w:rPr>
        <w:t>rzedmiotu czci religijnej</w:t>
      </w:r>
      <w:r w:rsidR="008B6CFB" w:rsidRPr="00486705">
        <w:rPr>
          <w:rFonts w:asciiTheme="majorHAnsi" w:hAnsiTheme="majorHAnsi"/>
        </w:rPr>
        <w:t xml:space="preserve"> (W. Wróbel, w: </w:t>
      </w:r>
      <w:r w:rsidRPr="00486705">
        <w:rPr>
          <w:rFonts w:asciiTheme="majorHAnsi" w:hAnsiTheme="majorHAnsi"/>
        </w:rPr>
        <w:t>Kodeks karny. Część szczególna, t. II, red. A. Zoll, Warszawa 2013, s. 659)</w:t>
      </w:r>
      <w:r w:rsidR="008B6CFB" w:rsidRPr="00486705">
        <w:rPr>
          <w:rFonts w:asciiTheme="majorHAnsi" w:hAnsiTheme="majorHAnsi"/>
        </w:rPr>
        <w:t>.</w:t>
      </w:r>
    </w:p>
    <w:p w:rsidR="00282C21" w:rsidRPr="00486705" w:rsidRDefault="003D4C8A" w:rsidP="009929D7">
      <w:pPr>
        <w:spacing w:after="0"/>
        <w:ind w:firstLine="708"/>
        <w:jc w:val="both"/>
        <w:rPr>
          <w:rFonts w:asciiTheme="majorHAnsi" w:hAnsiTheme="majorHAnsi"/>
        </w:rPr>
      </w:pPr>
      <w:r w:rsidRPr="00486705">
        <w:rPr>
          <w:rFonts w:asciiTheme="majorHAnsi" w:hAnsiTheme="majorHAnsi"/>
        </w:rPr>
        <w:t xml:space="preserve">Jak wskazuje utrwalona doktryna przedmiotu, </w:t>
      </w:r>
      <w:r w:rsidRPr="00486705">
        <w:rPr>
          <w:rFonts w:asciiTheme="majorHAnsi" w:hAnsiTheme="majorHAnsi" w:cs="Verdana"/>
          <w:i/>
        </w:rPr>
        <w:t>obrazą uczuć religijnych jest publiczne znieważenie przedmiotu czci religijnej lub miejsca przeznaczonego do publicznego wykonywania obrzędów religijnych. Pod pojęciem "przedmiot czci religijnej" rozumie się zwykle przedmiot, który przez określoną wspólnotę religijną, kościół lub związek wyznaniowy uznany jest za przedmiot kultu, godny najwyższego szacunku, a niekiedy wręcz uwielbienia. Do przedmiotów tych zwykło zaliczać się: krzyż, hostię, obrazy i figury świętych, naczynia liturgiczne, szaty pontyfikalne, różaniec, czasami wskazuje się, że przedmiotami czci religijnej będą także "słowa mające charakter sprawowania sakramentów, imiona świętych i rytuały"</w:t>
      </w:r>
      <w:r w:rsidRPr="00486705">
        <w:rPr>
          <w:rFonts w:asciiTheme="majorHAnsi" w:hAnsiTheme="majorHAnsi" w:cs="Verdana"/>
        </w:rPr>
        <w:t xml:space="preserve"> (J. Sobczak  [w:] Stefański, Kodeks karny. Komentarz, za </w:t>
      </w:r>
      <w:r w:rsidRPr="00486705">
        <w:rPr>
          <w:rFonts w:asciiTheme="majorHAnsi" w:hAnsiTheme="majorHAnsi" w:cs="Verdana"/>
          <w:i/>
          <w:iCs/>
        </w:rPr>
        <w:t>J. Wojciechowska</w:t>
      </w:r>
      <w:r w:rsidRPr="00486705">
        <w:rPr>
          <w:rFonts w:asciiTheme="majorHAnsi" w:hAnsiTheme="majorHAnsi" w:cs="Verdana"/>
        </w:rPr>
        <w:t xml:space="preserve">, [w:] </w:t>
      </w:r>
      <w:r w:rsidRPr="00486705">
        <w:rPr>
          <w:rFonts w:asciiTheme="majorHAnsi" w:hAnsiTheme="majorHAnsi" w:cs="Verdana"/>
          <w:i/>
          <w:iCs/>
        </w:rPr>
        <w:t>Wąsek</w:t>
      </w:r>
      <w:r w:rsidRPr="00486705">
        <w:rPr>
          <w:rFonts w:asciiTheme="majorHAnsi" w:hAnsiTheme="majorHAnsi" w:cs="Verdana"/>
        </w:rPr>
        <w:t>,</w:t>
      </w:r>
      <w:r w:rsidRPr="00486705">
        <w:rPr>
          <w:rFonts w:asciiTheme="majorHAnsi" w:hAnsiTheme="majorHAnsi" w:cs="Verdana"/>
          <w:i/>
          <w:iCs/>
        </w:rPr>
        <w:t xml:space="preserve"> Zawłocki</w:t>
      </w:r>
      <w:r w:rsidRPr="00486705">
        <w:rPr>
          <w:rFonts w:asciiTheme="majorHAnsi" w:hAnsiTheme="majorHAnsi" w:cs="Verdana"/>
        </w:rPr>
        <w:t>, Kodeks karny, t. I, 2010, s. 899).</w:t>
      </w:r>
    </w:p>
    <w:p w:rsidR="00074FE0" w:rsidRPr="00486705" w:rsidRDefault="00074FE0" w:rsidP="00C71BAB">
      <w:pPr>
        <w:spacing w:after="0"/>
        <w:ind w:firstLine="708"/>
        <w:jc w:val="both"/>
        <w:rPr>
          <w:rFonts w:asciiTheme="majorHAnsi" w:hAnsiTheme="majorHAnsi"/>
        </w:rPr>
      </w:pPr>
      <w:r w:rsidRPr="00486705">
        <w:rPr>
          <w:rFonts w:asciiTheme="majorHAnsi" w:hAnsiTheme="majorHAnsi"/>
        </w:rPr>
        <w:t xml:space="preserve">Działanie </w:t>
      </w:r>
      <w:r w:rsidR="00794A72">
        <w:rPr>
          <w:rFonts w:asciiTheme="majorHAnsi" w:hAnsiTheme="majorHAnsi"/>
        </w:rPr>
        <w:t>sprawcy miało charakter znieważający</w:t>
      </w:r>
      <w:r w:rsidRPr="00486705">
        <w:rPr>
          <w:rFonts w:asciiTheme="majorHAnsi" w:hAnsiTheme="majorHAnsi"/>
        </w:rPr>
        <w:t xml:space="preserve">, tj. według przyjętych powszechnie norm kulturowo-obyczajowych stanowiło </w:t>
      </w:r>
      <w:r w:rsidR="00EE3F25">
        <w:rPr>
          <w:rFonts w:asciiTheme="majorHAnsi" w:hAnsiTheme="majorHAnsi"/>
        </w:rPr>
        <w:t xml:space="preserve">ono </w:t>
      </w:r>
      <w:r w:rsidRPr="00486705">
        <w:rPr>
          <w:rFonts w:asciiTheme="majorHAnsi" w:hAnsiTheme="majorHAnsi"/>
        </w:rPr>
        <w:t>wyraz pogardy, uwłaczało godności poprzez</w:t>
      </w:r>
      <w:r w:rsidR="00794A72">
        <w:rPr>
          <w:rFonts w:asciiTheme="majorHAnsi" w:hAnsiTheme="majorHAnsi"/>
        </w:rPr>
        <w:t>( ………………..)</w:t>
      </w:r>
      <w:r w:rsidRPr="00486705">
        <w:rPr>
          <w:rFonts w:asciiTheme="majorHAnsi" w:hAnsiTheme="majorHAnsi"/>
        </w:rPr>
        <w:t xml:space="preserve"> </w:t>
      </w:r>
    </w:p>
    <w:p w:rsidR="008A00E4" w:rsidRPr="000B0EE1" w:rsidRDefault="008A00E4" w:rsidP="00486705">
      <w:pPr>
        <w:spacing w:after="0"/>
        <w:ind w:firstLine="708"/>
        <w:jc w:val="both"/>
        <w:rPr>
          <w:rFonts w:asciiTheme="majorHAnsi" w:hAnsiTheme="majorHAnsi"/>
        </w:rPr>
      </w:pPr>
      <w:r w:rsidRPr="00486705">
        <w:rPr>
          <w:rFonts w:asciiTheme="majorHAnsi" w:hAnsiTheme="majorHAnsi"/>
        </w:rPr>
        <w:t xml:space="preserve">Czyn wypełnił </w:t>
      </w:r>
      <w:r w:rsidR="009929D7" w:rsidRPr="00486705">
        <w:rPr>
          <w:rFonts w:asciiTheme="majorHAnsi" w:hAnsiTheme="majorHAnsi"/>
        </w:rPr>
        <w:t xml:space="preserve">też </w:t>
      </w:r>
      <w:r w:rsidRPr="00486705">
        <w:rPr>
          <w:rFonts w:asciiTheme="majorHAnsi" w:hAnsiTheme="majorHAnsi"/>
        </w:rPr>
        <w:t xml:space="preserve">znamię publiczności. Jak stwierdza Sąd Najwyższy w swoim postanowieniu z 5 marca 2015 r. (II KK 274/14), </w:t>
      </w:r>
      <w:r w:rsidRPr="00486705">
        <w:rPr>
          <w:rFonts w:asciiTheme="majorHAnsi" w:hAnsiTheme="majorHAnsi"/>
          <w:i/>
        </w:rPr>
        <w:t>znamiona przestępstwa określonego w art. 196 KK, wypełnia jedynie takie znieważenie przedmiotu czci religijnej, które ma miejsce publicznie. Publiczny charakter przestępstwa z art. 196 KK sprowadza się do tego, że znieważenie przedmiotu czci religijnej może zostać dostrzeżone przez większą lub bliżej nieokreśloną liczbę osób.</w:t>
      </w:r>
      <w:r w:rsidR="000B0EE1">
        <w:rPr>
          <w:rFonts w:asciiTheme="majorHAnsi" w:hAnsiTheme="majorHAnsi"/>
          <w:i/>
        </w:rPr>
        <w:t xml:space="preserve"> </w:t>
      </w:r>
    </w:p>
    <w:p w:rsidR="009266C7" w:rsidRPr="00486705" w:rsidRDefault="009266C7" w:rsidP="009929D7">
      <w:pPr>
        <w:spacing w:after="0"/>
        <w:jc w:val="both"/>
        <w:rPr>
          <w:rFonts w:asciiTheme="majorHAnsi" w:hAnsiTheme="majorHAnsi"/>
        </w:rPr>
      </w:pPr>
    </w:p>
    <w:p w:rsidR="009929D7" w:rsidRPr="00486705" w:rsidRDefault="009929D7" w:rsidP="009929D7">
      <w:pPr>
        <w:spacing w:after="0"/>
        <w:jc w:val="both"/>
        <w:rPr>
          <w:rFonts w:asciiTheme="majorHAnsi" w:hAnsiTheme="majorHAnsi"/>
          <w:b/>
          <w:u w:val="single"/>
        </w:rPr>
      </w:pPr>
      <w:r w:rsidRPr="00486705">
        <w:rPr>
          <w:rFonts w:asciiTheme="majorHAnsi" w:hAnsiTheme="majorHAnsi"/>
          <w:b/>
          <w:u w:val="single"/>
        </w:rPr>
        <w:t xml:space="preserve">Kwalifikacja prawna – art. 257 KK znieważanie grupy i osoby z powodu przynależności wyznaniowej </w:t>
      </w:r>
    </w:p>
    <w:p w:rsidR="009929D7" w:rsidRPr="00486705" w:rsidRDefault="009929D7" w:rsidP="009929D7">
      <w:pPr>
        <w:spacing w:after="0"/>
        <w:jc w:val="both"/>
        <w:rPr>
          <w:rFonts w:asciiTheme="majorHAnsi" w:hAnsiTheme="majorHAnsi"/>
        </w:rPr>
      </w:pPr>
    </w:p>
    <w:p w:rsidR="00F31A39" w:rsidRDefault="00164F5F" w:rsidP="00F31A39">
      <w:pPr>
        <w:shd w:val="clear" w:color="auto" w:fill="FFFFFF"/>
        <w:spacing w:after="240"/>
        <w:ind w:firstLine="708"/>
        <w:jc w:val="both"/>
        <w:rPr>
          <w:rFonts w:ascii="Cambria" w:hAnsi="Cambria"/>
        </w:rPr>
      </w:pPr>
      <w:r w:rsidRPr="00486705">
        <w:rPr>
          <w:rFonts w:asciiTheme="majorHAnsi" w:hAnsiTheme="majorHAnsi"/>
        </w:rPr>
        <w:t xml:space="preserve">Działanie </w:t>
      </w:r>
      <w:r w:rsidR="00794A72">
        <w:rPr>
          <w:rFonts w:asciiTheme="majorHAnsi" w:hAnsiTheme="majorHAnsi"/>
        </w:rPr>
        <w:t>sprawcy</w:t>
      </w:r>
      <w:r w:rsidRPr="00486705">
        <w:rPr>
          <w:rFonts w:asciiTheme="majorHAnsi" w:hAnsiTheme="majorHAnsi"/>
        </w:rPr>
        <w:t>, jak zostało to wyjaśnione powyżej,</w:t>
      </w:r>
      <w:r>
        <w:rPr>
          <w:rFonts w:asciiTheme="majorHAnsi" w:hAnsiTheme="majorHAnsi"/>
        </w:rPr>
        <w:t xml:space="preserve"> miało</w:t>
      </w:r>
      <w:r w:rsidRPr="00486705">
        <w:rPr>
          <w:rFonts w:asciiTheme="majorHAnsi" w:hAnsiTheme="majorHAnsi"/>
        </w:rPr>
        <w:t xml:space="preserve"> charakter znieważający</w:t>
      </w:r>
      <w:r>
        <w:rPr>
          <w:rFonts w:asciiTheme="majorHAnsi" w:hAnsiTheme="majorHAnsi"/>
        </w:rPr>
        <w:t xml:space="preserve"> </w:t>
      </w:r>
      <w:r w:rsidRPr="00486705">
        <w:rPr>
          <w:rFonts w:asciiTheme="majorHAnsi" w:hAnsiTheme="majorHAnsi"/>
        </w:rPr>
        <w:t xml:space="preserve"> oraz publiczny. </w:t>
      </w:r>
      <w:bookmarkStart w:id="1" w:name="_GoBack"/>
      <w:bookmarkEnd w:id="1"/>
      <w:r w:rsidR="00F31A39">
        <w:rPr>
          <w:rFonts w:ascii="Cambria" w:hAnsi="Cambria"/>
        </w:rPr>
        <w:t>„Znieważenie”</w:t>
      </w:r>
      <w:r w:rsidR="00F31A39" w:rsidRPr="00C92B73">
        <w:rPr>
          <w:rFonts w:ascii="Cambria" w:hAnsi="Cambria"/>
        </w:rPr>
        <w:t xml:space="preserve"> </w:t>
      </w:r>
      <w:r w:rsidR="00F31A39" w:rsidRPr="004C679D">
        <w:rPr>
          <w:rFonts w:ascii="Cambria" w:hAnsi="Cambria"/>
        </w:rPr>
        <w:t>jest </w:t>
      </w:r>
      <w:r w:rsidR="00F31A39" w:rsidRPr="004C679D">
        <w:rPr>
          <w:rFonts w:ascii="Cambria" w:hAnsi="Cambria"/>
          <w:bCs/>
        </w:rPr>
        <w:t>okazaniem pogardy</w:t>
      </w:r>
      <w:r w:rsidR="00F31A39" w:rsidRPr="004C679D">
        <w:rPr>
          <w:rFonts w:ascii="Cambria" w:hAnsi="Cambria"/>
        </w:rPr>
        <w:t>, która głębiej wyraża ujemny stosunek do wartości, jaką repreze</w:t>
      </w:r>
      <w:r w:rsidR="00F31A39" w:rsidRPr="00C92B73">
        <w:rPr>
          <w:rFonts w:ascii="Cambria" w:hAnsi="Cambria"/>
        </w:rPr>
        <w:t>ntuje sobą człowiek niż lekceważenie (zob. </w:t>
      </w:r>
      <w:r w:rsidR="00F31A39" w:rsidRPr="00C92B73">
        <w:rPr>
          <w:rFonts w:ascii="Cambria" w:hAnsi="Cambria"/>
          <w:i/>
          <w:iCs/>
        </w:rPr>
        <w:t>W. Kulesza</w:t>
      </w:r>
      <w:r w:rsidR="00F31A39" w:rsidRPr="00C92B73">
        <w:rPr>
          <w:rFonts w:ascii="Cambria" w:hAnsi="Cambria"/>
        </w:rPr>
        <w:t>, Zniesławienie i zniewaga, s. 174; zob. uwagi do </w:t>
      </w:r>
      <w:hyperlink r:id="rId8" w:history="1">
        <w:r w:rsidR="00F31A39" w:rsidRPr="00C92B73">
          <w:rPr>
            <w:rStyle w:val="Hipercze"/>
            <w:rFonts w:ascii="Cambria" w:hAnsi="Cambria"/>
          </w:rPr>
          <w:t>art. 216</w:t>
        </w:r>
      </w:hyperlink>
      <w:r w:rsidR="00F31A39" w:rsidRPr="00C92B73">
        <w:rPr>
          <w:rFonts w:ascii="Cambria" w:hAnsi="Cambria"/>
        </w:rPr>
        <w:t>).</w:t>
      </w:r>
    </w:p>
    <w:p w:rsidR="00F31A39" w:rsidRPr="00C92B73" w:rsidRDefault="00F31A39" w:rsidP="00F31A39">
      <w:pPr>
        <w:shd w:val="clear" w:color="auto" w:fill="FFFFFF"/>
        <w:spacing w:after="240"/>
        <w:ind w:firstLine="708"/>
        <w:jc w:val="both"/>
        <w:rPr>
          <w:rFonts w:ascii="Cambria" w:hAnsi="Cambria"/>
        </w:rPr>
      </w:pPr>
      <w:r w:rsidRPr="00C92B73">
        <w:rPr>
          <w:rFonts w:ascii="Cambria" w:hAnsi="Cambria"/>
        </w:rPr>
        <w:lastRenderedPageBreak/>
        <w:t>Sąd Najwyższy w post. z 17.8.2016 r. (</w:t>
      </w:r>
      <w:hyperlink r:id="rId9" w:history="1">
        <w:r w:rsidRPr="00C92B73">
          <w:rPr>
            <w:rStyle w:val="Hipercze"/>
            <w:rFonts w:ascii="Cambria" w:hAnsi="Cambria"/>
          </w:rPr>
          <w:t>IV KK 53/16</w:t>
        </w:r>
      </w:hyperlink>
      <w:r>
        <w:rPr>
          <w:rFonts w:ascii="Cambria" w:hAnsi="Cambria"/>
        </w:rPr>
        <w:t xml:space="preserve">, Legalis) stwierdził, że </w:t>
      </w:r>
      <w:r w:rsidRPr="004C679D">
        <w:rPr>
          <w:rFonts w:ascii="Cambria" w:hAnsi="Cambria"/>
          <w:i/>
        </w:rPr>
        <w:t>„określenie „znieważenie” występuje w art. 257 KK w podobnym znaczeniu, jak w </w:t>
      </w:r>
      <w:hyperlink r:id="rId10" w:history="1">
        <w:r w:rsidRPr="004C679D">
          <w:rPr>
            <w:rStyle w:val="Hipercze"/>
            <w:rFonts w:ascii="Cambria" w:hAnsi="Cambria"/>
            <w:i/>
          </w:rPr>
          <w:t>art. 216 § 1</w:t>
        </w:r>
      </w:hyperlink>
      <w:r w:rsidRPr="004C679D">
        <w:rPr>
          <w:rFonts w:ascii="Cambria" w:hAnsi="Cambria"/>
          <w:i/>
        </w:rPr>
        <w:t> KK, z tym że pokrzywdzonym jest dana zbiorowość (art. 257 KK), a nie określona osoba. Przestępstwo stypizowane w art. 257 KK atakuje więc cześć człowieka, ściślej – cześć wewnętrzną, czyli godność osobistą rozumianą jako poczucie własnej wartości (cześć zewnętrzną, czyli dobre imię w społeczeństwie, chroni </w:t>
      </w:r>
      <w:hyperlink r:id="rId11" w:history="1">
        <w:r w:rsidRPr="004C679D">
          <w:rPr>
            <w:rStyle w:val="Hipercze"/>
            <w:rFonts w:ascii="Cambria" w:hAnsi="Cambria"/>
            <w:i/>
          </w:rPr>
          <w:t>art. 212 § 1 i 2</w:t>
        </w:r>
      </w:hyperlink>
      <w:r w:rsidRPr="004C679D">
        <w:rPr>
          <w:rFonts w:ascii="Cambria" w:hAnsi="Cambria"/>
          <w:i/>
        </w:rPr>
        <w:t> KK)”</w:t>
      </w:r>
      <w:r w:rsidRPr="00C92B73">
        <w:rPr>
          <w:rFonts w:ascii="Cambria" w:hAnsi="Cambria"/>
        </w:rPr>
        <w:t>.</w:t>
      </w:r>
    </w:p>
    <w:p w:rsidR="00F020CD" w:rsidRPr="00486705" w:rsidRDefault="00F020CD" w:rsidP="00F020CD">
      <w:pPr>
        <w:spacing w:after="0"/>
        <w:ind w:firstLine="708"/>
        <w:jc w:val="both"/>
        <w:rPr>
          <w:rFonts w:asciiTheme="majorHAnsi" w:hAnsiTheme="majorHAnsi"/>
        </w:rPr>
      </w:pPr>
    </w:p>
    <w:p w:rsidR="00F020CD" w:rsidRPr="00486705" w:rsidRDefault="00F020CD" w:rsidP="00F020CD">
      <w:pPr>
        <w:spacing w:after="0"/>
        <w:jc w:val="both"/>
        <w:rPr>
          <w:rFonts w:asciiTheme="majorHAnsi" w:hAnsiTheme="majorHAnsi"/>
          <w:b/>
          <w:u w:val="single"/>
        </w:rPr>
      </w:pPr>
      <w:r w:rsidRPr="00486705">
        <w:rPr>
          <w:rFonts w:asciiTheme="majorHAnsi" w:hAnsiTheme="majorHAnsi"/>
          <w:b/>
          <w:u w:val="single"/>
        </w:rPr>
        <w:t>Brak przesłanek wyłączenia bezprawności przez wzgląd na wolność słowa i swobodę ekspresji artystycznej</w:t>
      </w:r>
    </w:p>
    <w:p w:rsidR="00486705" w:rsidRDefault="00486705" w:rsidP="00D56801">
      <w:pPr>
        <w:spacing w:after="0"/>
        <w:ind w:firstLine="708"/>
        <w:jc w:val="both"/>
        <w:rPr>
          <w:rFonts w:asciiTheme="majorHAnsi" w:hAnsiTheme="majorHAnsi"/>
        </w:rPr>
      </w:pPr>
    </w:p>
    <w:p w:rsidR="00A95BBE" w:rsidRPr="00486705" w:rsidRDefault="002668CC" w:rsidP="00D56801">
      <w:pPr>
        <w:spacing w:after="0"/>
        <w:ind w:firstLine="708"/>
        <w:jc w:val="both"/>
        <w:rPr>
          <w:rFonts w:asciiTheme="majorHAnsi" w:hAnsiTheme="majorHAnsi"/>
        </w:rPr>
      </w:pPr>
      <w:r w:rsidRPr="00486705">
        <w:rPr>
          <w:rFonts w:asciiTheme="majorHAnsi" w:hAnsiTheme="majorHAnsi"/>
        </w:rPr>
        <w:t xml:space="preserve">W ramach europejskiego systemu praw człowieka, </w:t>
      </w:r>
      <w:r w:rsidR="00DD1937" w:rsidRPr="00486705">
        <w:rPr>
          <w:rFonts w:asciiTheme="majorHAnsi" w:hAnsiTheme="majorHAnsi"/>
        </w:rPr>
        <w:t>Konwencja o Ochronie Praw Człowieka i Podstawowych w jej art. 10 oraz Europejski Trybunał Praw Człowieka w wypracowanym przez siebie orzecznictwie przyznają bardzo szeroki zakres ochrony wolności wypowiedzi</w:t>
      </w:r>
      <w:r w:rsidR="00D56801" w:rsidRPr="00486705">
        <w:rPr>
          <w:rFonts w:asciiTheme="majorHAnsi" w:hAnsiTheme="majorHAnsi"/>
        </w:rPr>
        <w:t xml:space="preserve">. </w:t>
      </w:r>
      <w:r w:rsidR="00DD1937" w:rsidRPr="00486705">
        <w:rPr>
          <w:rFonts w:asciiTheme="majorHAnsi" w:hAnsiTheme="majorHAnsi"/>
        </w:rPr>
        <w:t>Wolność</w:t>
      </w:r>
      <w:r w:rsidR="00F863D4" w:rsidRPr="00486705">
        <w:rPr>
          <w:rFonts w:asciiTheme="majorHAnsi" w:hAnsiTheme="majorHAnsi"/>
        </w:rPr>
        <w:t xml:space="preserve"> ta</w:t>
      </w:r>
      <w:r w:rsidR="00DD1937" w:rsidRPr="00486705">
        <w:rPr>
          <w:rFonts w:asciiTheme="majorHAnsi" w:hAnsiTheme="majorHAnsi"/>
        </w:rPr>
        <w:t xml:space="preserve">, w tym będąca jej elementem </w:t>
      </w:r>
      <w:r w:rsidR="00F863D4" w:rsidRPr="00486705">
        <w:rPr>
          <w:rFonts w:asciiTheme="majorHAnsi" w:hAnsiTheme="majorHAnsi"/>
        </w:rPr>
        <w:t>swoboda</w:t>
      </w:r>
      <w:r w:rsidR="00DD1937" w:rsidRPr="00486705">
        <w:rPr>
          <w:rFonts w:asciiTheme="majorHAnsi" w:hAnsiTheme="majorHAnsi"/>
        </w:rPr>
        <w:t xml:space="preserve"> ekspresji artystycznej, </w:t>
      </w:r>
      <w:r w:rsidR="00696892" w:rsidRPr="00486705">
        <w:rPr>
          <w:rFonts w:asciiTheme="majorHAnsi" w:hAnsiTheme="majorHAnsi"/>
        </w:rPr>
        <w:t>choć może przybrać nawet formę ostrej</w:t>
      </w:r>
      <w:r w:rsidR="00F863D4" w:rsidRPr="00486705">
        <w:rPr>
          <w:rFonts w:asciiTheme="majorHAnsi" w:hAnsiTheme="majorHAnsi"/>
        </w:rPr>
        <w:t>, szokującej</w:t>
      </w:r>
      <w:r w:rsidR="00696892" w:rsidRPr="00486705">
        <w:rPr>
          <w:rFonts w:asciiTheme="majorHAnsi" w:hAnsiTheme="majorHAnsi"/>
        </w:rPr>
        <w:t xml:space="preserve"> krytyki, </w:t>
      </w:r>
      <w:r w:rsidR="00DD1937" w:rsidRPr="00486705">
        <w:rPr>
          <w:rFonts w:asciiTheme="majorHAnsi" w:hAnsiTheme="majorHAnsi"/>
        </w:rPr>
        <w:t>nie jest jednak nieograniczona</w:t>
      </w:r>
      <w:r w:rsidR="00EC34FA" w:rsidRPr="00486705">
        <w:rPr>
          <w:rFonts w:asciiTheme="majorHAnsi" w:hAnsiTheme="majorHAnsi"/>
        </w:rPr>
        <w:t>,</w:t>
      </w:r>
      <w:r w:rsidR="00696892" w:rsidRPr="00486705">
        <w:rPr>
          <w:rFonts w:asciiTheme="majorHAnsi" w:hAnsiTheme="majorHAnsi"/>
        </w:rPr>
        <w:t xml:space="preserve"> ponieważ musi być odczytywana w kontekście innych gwarancji Konwencji (wyrok Klass i inni przeciwko Niemcom z dnia 6 września 1978 r., par. 68)</w:t>
      </w:r>
      <w:r w:rsidR="00EC34FA" w:rsidRPr="00486705">
        <w:rPr>
          <w:rFonts w:asciiTheme="majorHAnsi" w:hAnsiTheme="majorHAnsi"/>
        </w:rPr>
        <w:t>, w tym prawa do wolności myśli, sumienia i wyznania</w:t>
      </w:r>
      <w:r w:rsidR="00696892" w:rsidRPr="00486705">
        <w:rPr>
          <w:rFonts w:asciiTheme="majorHAnsi" w:hAnsiTheme="majorHAnsi"/>
        </w:rPr>
        <w:t>.</w:t>
      </w:r>
      <w:r w:rsidR="00C71BAB" w:rsidRPr="00486705">
        <w:rPr>
          <w:rFonts w:asciiTheme="majorHAnsi" w:hAnsiTheme="majorHAnsi"/>
        </w:rPr>
        <w:t xml:space="preserve"> </w:t>
      </w:r>
      <w:r w:rsidR="00DD1937" w:rsidRPr="00AC4A06">
        <w:rPr>
          <w:rFonts w:asciiTheme="majorHAnsi" w:hAnsiTheme="majorHAnsi"/>
          <w:u w:val="single"/>
        </w:rPr>
        <w:t xml:space="preserve">Powodem ograniczenia </w:t>
      </w:r>
      <w:r w:rsidR="00F020CD" w:rsidRPr="00AC4A06">
        <w:rPr>
          <w:rFonts w:asciiTheme="majorHAnsi" w:hAnsiTheme="majorHAnsi"/>
          <w:u w:val="single"/>
        </w:rPr>
        <w:t xml:space="preserve">wolności słowa </w:t>
      </w:r>
      <w:r w:rsidR="00DD1937" w:rsidRPr="00AC4A06">
        <w:rPr>
          <w:rFonts w:asciiTheme="majorHAnsi" w:hAnsiTheme="majorHAnsi"/>
          <w:u w:val="single"/>
        </w:rPr>
        <w:t>może być m.in. brak szacunku dla uczuć religijnych, gwarantowanych w art. 9 Konwencji, wyrażający się np. przez upublicznienie prowokacyjnych wizerunków przedmiotów czci religijnej.</w:t>
      </w:r>
      <w:r w:rsidR="00696892" w:rsidRPr="00AC4A06">
        <w:rPr>
          <w:rFonts w:asciiTheme="majorHAnsi" w:hAnsiTheme="majorHAnsi"/>
          <w:u w:val="single"/>
        </w:rPr>
        <w:t xml:space="preserve"> Państwo </w:t>
      </w:r>
      <w:r w:rsidR="00F020CD" w:rsidRPr="00AC4A06">
        <w:rPr>
          <w:rFonts w:asciiTheme="majorHAnsi" w:hAnsiTheme="majorHAnsi"/>
          <w:u w:val="single"/>
        </w:rPr>
        <w:t xml:space="preserve">jest wówczas </w:t>
      </w:r>
      <w:r w:rsidR="00696892" w:rsidRPr="00AC4A06">
        <w:rPr>
          <w:rFonts w:asciiTheme="majorHAnsi" w:hAnsiTheme="majorHAnsi"/>
          <w:u w:val="single"/>
        </w:rPr>
        <w:t xml:space="preserve">uprawnione do wyeliminowania określonych form działania, </w:t>
      </w:r>
      <w:r w:rsidR="00B60D8C" w:rsidRPr="00AC4A06">
        <w:rPr>
          <w:rFonts w:asciiTheme="majorHAnsi" w:hAnsiTheme="majorHAnsi"/>
          <w:u w:val="single"/>
        </w:rPr>
        <w:t xml:space="preserve">szczególnie tych </w:t>
      </w:r>
      <w:r w:rsidR="00696892" w:rsidRPr="00AC4A06">
        <w:rPr>
          <w:rFonts w:asciiTheme="majorHAnsi" w:hAnsiTheme="majorHAnsi"/>
          <w:u w:val="single"/>
        </w:rPr>
        <w:t xml:space="preserve">stojących w sprzeczności z wolnością myśli, sumienia i religii </w:t>
      </w:r>
      <w:r w:rsidR="00696892" w:rsidRPr="00486705">
        <w:rPr>
          <w:rFonts w:asciiTheme="majorHAnsi" w:hAnsiTheme="majorHAnsi"/>
        </w:rPr>
        <w:t>(wyrok Kokkinakis przeciwko Grecji z dnia 25 maja 1993 r., par. 48).</w:t>
      </w:r>
      <w:r w:rsidR="00C71BAB" w:rsidRPr="00486705">
        <w:rPr>
          <w:rFonts w:asciiTheme="majorHAnsi" w:hAnsiTheme="majorHAnsi"/>
        </w:rPr>
        <w:t xml:space="preserve"> </w:t>
      </w:r>
    </w:p>
    <w:p w:rsidR="00BD5B6F" w:rsidRPr="00486705" w:rsidRDefault="00040321" w:rsidP="00486705">
      <w:pPr>
        <w:autoSpaceDE w:val="0"/>
        <w:autoSpaceDN w:val="0"/>
        <w:adjustRightInd w:val="0"/>
        <w:spacing w:after="0"/>
        <w:ind w:firstLine="708"/>
        <w:jc w:val="both"/>
        <w:rPr>
          <w:rFonts w:asciiTheme="majorHAnsi" w:hAnsiTheme="majorHAnsi" w:cs="TimesNewRomanPSMT"/>
          <w:i/>
          <w:iCs/>
        </w:rPr>
      </w:pPr>
      <w:r w:rsidRPr="00486705">
        <w:rPr>
          <w:rFonts w:asciiTheme="majorHAnsi" w:hAnsiTheme="majorHAnsi" w:cs="TimesNewRomanPSMT"/>
        </w:rPr>
        <w:t xml:space="preserve">W wyroku </w:t>
      </w:r>
      <w:r w:rsidR="00F020CD" w:rsidRPr="00486705">
        <w:rPr>
          <w:rFonts w:asciiTheme="majorHAnsi" w:hAnsiTheme="majorHAnsi" w:cs="TimesNewRomanPSMT"/>
        </w:rPr>
        <w:t>Trybunału Konstytucyjnego (</w:t>
      </w:r>
      <w:r w:rsidRPr="00486705">
        <w:rPr>
          <w:rFonts w:asciiTheme="majorHAnsi" w:hAnsiTheme="majorHAnsi" w:cs="TimesNewRomanPSMT"/>
        </w:rPr>
        <w:t>SK 54/13</w:t>
      </w:r>
      <w:r w:rsidR="00F020CD" w:rsidRPr="00486705">
        <w:rPr>
          <w:rFonts w:asciiTheme="majorHAnsi" w:hAnsiTheme="majorHAnsi" w:cs="TimesNewRomanPSMT"/>
        </w:rPr>
        <w:t xml:space="preserve">) stwierdzono, </w:t>
      </w:r>
      <w:r w:rsidRPr="00486705">
        <w:rPr>
          <w:rFonts w:asciiTheme="majorHAnsi" w:hAnsiTheme="majorHAnsi" w:cs="TimesNewRomanPSMT"/>
        </w:rPr>
        <w:t xml:space="preserve">że wolność słowa nie ma charakteru absolutnego i </w:t>
      </w:r>
      <w:r w:rsidR="00BD5B6F" w:rsidRPr="00486705">
        <w:rPr>
          <w:rFonts w:asciiTheme="majorHAnsi" w:hAnsiTheme="majorHAnsi" w:cs="TimesNewRomanPSMT"/>
        </w:rPr>
        <w:t xml:space="preserve">może </w:t>
      </w:r>
      <w:r w:rsidRPr="00486705">
        <w:rPr>
          <w:rFonts w:asciiTheme="majorHAnsi" w:hAnsiTheme="majorHAnsi" w:cs="TimesNewRomanPSMT"/>
        </w:rPr>
        <w:t>podlega</w:t>
      </w:r>
      <w:r w:rsidR="00BD5B6F" w:rsidRPr="00486705">
        <w:rPr>
          <w:rFonts w:asciiTheme="majorHAnsi" w:hAnsiTheme="majorHAnsi" w:cs="TimesNewRomanPSMT"/>
        </w:rPr>
        <w:t>ć</w:t>
      </w:r>
      <w:r w:rsidRPr="00486705">
        <w:rPr>
          <w:rFonts w:asciiTheme="majorHAnsi" w:hAnsiTheme="majorHAnsi" w:cs="TimesNewRomanPSMT"/>
        </w:rPr>
        <w:t xml:space="preserve"> ograniczeniom w sytuacji konfliktu z innymi prawami i wolnościami, np. z prawem do ochrony uczuć religijnych. Niedopuszczalna bowiem byłaby </w:t>
      </w:r>
      <w:r w:rsidR="00BD5B6F" w:rsidRPr="00486705">
        <w:rPr>
          <w:rFonts w:asciiTheme="majorHAnsi" w:hAnsiTheme="majorHAnsi" w:cs="TimesNewRomanPSMT"/>
        </w:rPr>
        <w:t>sytuacja</w:t>
      </w:r>
      <w:r w:rsidRPr="00486705">
        <w:rPr>
          <w:rFonts w:asciiTheme="majorHAnsi" w:hAnsiTheme="majorHAnsi" w:cs="TimesNewRomanPSMT"/>
        </w:rPr>
        <w:t>, w której w imię nieskrępowanej realizacji jednych praw, nagminnie n</w:t>
      </w:r>
      <w:r w:rsidR="00BD5B6F" w:rsidRPr="00486705">
        <w:rPr>
          <w:rFonts w:asciiTheme="majorHAnsi" w:hAnsiTheme="majorHAnsi" w:cs="TimesNewRomanPSMT"/>
        </w:rPr>
        <w:t xml:space="preserve">aruszano by inne, równie istotne. Dlatego konieczna jest proporcjonalna ingerencja. Dlatego też </w:t>
      </w:r>
      <w:r w:rsidR="00BD5B6F" w:rsidRPr="00486705">
        <w:rPr>
          <w:rFonts w:asciiTheme="majorHAnsi" w:hAnsiTheme="majorHAnsi" w:cs="TimesNewRomanPSMT"/>
          <w:i/>
          <w:iCs/>
        </w:rPr>
        <w:t>poza zakresem penalizacji z art. 196 k.k. pozostaje zatem publiczne wyrażanie swoich negatywnych</w:t>
      </w:r>
      <w:r w:rsidR="00486705">
        <w:rPr>
          <w:rFonts w:asciiTheme="majorHAnsi" w:hAnsiTheme="majorHAnsi" w:cs="TimesNewRomanPSMT"/>
          <w:i/>
          <w:iCs/>
        </w:rPr>
        <w:t xml:space="preserve"> </w:t>
      </w:r>
      <w:r w:rsidR="00BD5B6F" w:rsidRPr="00486705">
        <w:rPr>
          <w:rFonts w:asciiTheme="majorHAnsi" w:hAnsiTheme="majorHAnsi" w:cs="TimesNewRomanPSMT"/>
          <w:i/>
          <w:iCs/>
        </w:rPr>
        <w:t xml:space="preserve">czy też krytycznych poglądów dotyczących przedmiotu czci religijnej, </w:t>
      </w:r>
      <w:r w:rsidR="00BD5B6F" w:rsidRPr="00486705">
        <w:rPr>
          <w:rFonts w:asciiTheme="majorHAnsi" w:hAnsiTheme="majorHAnsi" w:cs="TimesNewRomanPSMT"/>
          <w:bCs/>
          <w:i/>
          <w:iCs/>
        </w:rPr>
        <w:t xml:space="preserve">o ile nie przybierze formy ani nie będzie zawierało treści obiektywnie znieważających </w:t>
      </w:r>
      <w:r w:rsidR="00BD5B6F" w:rsidRPr="00486705">
        <w:rPr>
          <w:rFonts w:asciiTheme="majorHAnsi" w:hAnsiTheme="majorHAnsi" w:cs="TimesNewRomanPSMT"/>
          <w:i/>
          <w:iCs/>
        </w:rPr>
        <w:t xml:space="preserve">(…) </w:t>
      </w:r>
      <w:r w:rsidR="00BD5B6F" w:rsidRPr="00486705">
        <w:rPr>
          <w:rFonts w:asciiTheme="majorHAnsi" w:hAnsiTheme="majorHAnsi" w:cs="TimesNewRomanPSMT"/>
          <w:bCs/>
          <w:i/>
          <w:iCs/>
        </w:rPr>
        <w:t>Trudno bowiem uznać, że immanentny rdzeń swobody wypowiedzi sprowadza się do wyrażania poglądów znieważających czy obrażających uczucia innych osób, a więc okazywaniu pogardy za pomocą obraźliwych lub poniżających s</w:t>
      </w:r>
      <w:r w:rsidR="00F020CD" w:rsidRPr="00486705">
        <w:rPr>
          <w:rFonts w:asciiTheme="majorHAnsi" w:hAnsiTheme="majorHAnsi" w:cs="TimesNewRomanPSMT"/>
          <w:bCs/>
          <w:i/>
          <w:iCs/>
        </w:rPr>
        <w:t>formułowań (ewentualnie gestów)</w:t>
      </w:r>
      <w:r w:rsidR="00BD5B6F" w:rsidRPr="00486705">
        <w:rPr>
          <w:rFonts w:asciiTheme="majorHAnsi" w:hAnsiTheme="majorHAnsi" w:cs="TimesNewRomanPSMT"/>
          <w:bCs/>
          <w:i/>
          <w:iCs/>
        </w:rPr>
        <w:t>, które nie podlegają kwalifikacji w kategoriach prawdy i fałszu</w:t>
      </w:r>
      <w:r w:rsidR="00BD5B6F" w:rsidRPr="00486705">
        <w:rPr>
          <w:rFonts w:asciiTheme="majorHAnsi" w:hAnsiTheme="majorHAnsi" w:cs="TimesNewRomanPSMT"/>
        </w:rPr>
        <w:t xml:space="preserve">. Trybunał Konstytucyjny uznał, podobnie jak ETPCz, że </w:t>
      </w:r>
      <w:r w:rsidR="00BD5B6F" w:rsidRPr="00486705">
        <w:rPr>
          <w:rFonts w:asciiTheme="majorHAnsi" w:hAnsiTheme="majorHAnsi" w:cs="TimesNewRomanPS-ItalicMT"/>
          <w:i/>
          <w:iCs/>
        </w:rPr>
        <w:t>korzystanie ze swobody wypowiedzi wiąże się z obowiązkami. W odniesieniu do opinii i przekonań religijnych można do nich zaliczyć obowiązek unikania w miarę możliwości wypowiedzi niepotrzebnie obrażających innych i ich prawa, w tym wypowiedzi, które w odniesieniu do przedmiotów kultu byłyby bezzasadnie obraźliwe oraz bluźniercze</w:t>
      </w:r>
      <w:r w:rsidR="00BD5B6F" w:rsidRPr="00486705">
        <w:rPr>
          <w:rFonts w:asciiTheme="majorHAnsi" w:hAnsiTheme="majorHAnsi" w:cs="TimesNewRomanPSMT"/>
        </w:rPr>
        <w:t>.</w:t>
      </w:r>
    </w:p>
    <w:p w:rsidR="00BD5B6F" w:rsidRPr="00486705" w:rsidRDefault="00BD5B6F" w:rsidP="00BD5B6F">
      <w:pPr>
        <w:autoSpaceDE w:val="0"/>
        <w:autoSpaceDN w:val="0"/>
        <w:adjustRightInd w:val="0"/>
        <w:spacing w:after="0"/>
        <w:jc w:val="both"/>
        <w:rPr>
          <w:rFonts w:asciiTheme="majorHAnsi" w:hAnsiTheme="majorHAnsi" w:cs="TimesNewRomanPSMT"/>
        </w:rPr>
      </w:pPr>
    </w:p>
    <w:p w:rsidR="00BD5B6F" w:rsidRDefault="00BD5B6F" w:rsidP="00D56801">
      <w:pPr>
        <w:autoSpaceDE w:val="0"/>
        <w:autoSpaceDN w:val="0"/>
        <w:adjustRightInd w:val="0"/>
        <w:spacing w:after="0"/>
        <w:ind w:firstLine="708"/>
        <w:jc w:val="both"/>
        <w:rPr>
          <w:rFonts w:asciiTheme="majorHAnsi" w:hAnsiTheme="majorHAnsi" w:cs="TimesNewRomanPSMT"/>
        </w:rPr>
      </w:pPr>
      <w:r w:rsidRPr="00486705">
        <w:rPr>
          <w:rFonts w:asciiTheme="majorHAnsi" w:hAnsiTheme="majorHAnsi" w:cs="TimesNewRomanPSMT"/>
        </w:rPr>
        <w:t xml:space="preserve">Działanie </w:t>
      </w:r>
      <w:r w:rsidR="00794A72">
        <w:rPr>
          <w:rFonts w:asciiTheme="majorHAnsi" w:hAnsiTheme="majorHAnsi" w:cs="TimesNewRomanPSMT"/>
        </w:rPr>
        <w:t>(…………………)</w:t>
      </w:r>
      <w:r w:rsidR="00AC4A06">
        <w:rPr>
          <w:rFonts w:asciiTheme="majorHAnsi" w:hAnsiTheme="majorHAnsi" w:cs="TimesNewRomanPSMT"/>
        </w:rPr>
        <w:t>, w świetle przywołanego</w:t>
      </w:r>
      <w:r w:rsidR="00D56801" w:rsidRPr="00486705">
        <w:rPr>
          <w:rFonts w:asciiTheme="majorHAnsi" w:hAnsiTheme="majorHAnsi" w:cs="TimesNewRomanPSMT"/>
        </w:rPr>
        <w:t xml:space="preserve"> przepisu oraz</w:t>
      </w:r>
      <w:r w:rsidRPr="00486705">
        <w:rPr>
          <w:rFonts w:asciiTheme="majorHAnsi" w:hAnsiTheme="majorHAnsi" w:cs="TimesNewRomanPSMT"/>
        </w:rPr>
        <w:t xml:space="preserve"> orzecznictwa, należy uznać za przest</w:t>
      </w:r>
      <w:r w:rsidR="001C3AAA">
        <w:rPr>
          <w:rFonts w:asciiTheme="majorHAnsi" w:hAnsiTheme="majorHAnsi" w:cs="TimesNewRomanPSMT"/>
        </w:rPr>
        <w:t>ępne</w:t>
      </w:r>
      <w:r w:rsidR="00D56801" w:rsidRPr="00486705">
        <w:rPr>
          <w:rFonts w:asciiTheme="majorHAnsi" w:hAnsiTheme="majorHAnsi" w:cs="TimesNewRomanPSMT"/>
        </w:rPr>
        <w:t>.</w:t>
      </w:r>
    </w:p>
    <w:p w:rsidR="00F31A39" w:rsidRPr="00F31A39" w:rsidRDefault="00F31A39" w:rsidP="00F31A39">
      <w:pPr>
        <w:shd w:val="clear" w:color="auto" w:fill="FFFFFF"/>
        <w:spacing w:after="240"/>
        <w:ind w:firstLine="708"/>
        <w:jc w:val="both"/>
        <w:rPr>
          <w:rFonts w:ascii="Cambria" w:hAnsi="Cambria"/>
        </w:rPr>
      </w:pPr>
      <w:r>
        <w:rPr>
          <w:rFonts w:ascii="Cambria" w:hAnsi="Cambria"/>
        </w:rPr>
        <w:t>Przedmiotowe</w:t>
      </w:r>
      <w:r w:rsidR="00427049">
        <w:rPr>
          <w:rFonts w:ascii="Cambria" w:hAnsi="Cambria"/>
        </w:rPr>
        <w:t xml:space="preserve"> przestępstwo</w:t>
      </w:r>
      <w:r>
        <w:rPr>
          <w:rFonts w:ascii="Cambria" w:hAnsi="Cambria"/>
        </w:rPr>
        <w:t xml:space="preserve"> zo</w:t>
      </w:r>
      <w:r w:rsidR="00427049">
        <w:rPr>
          <w:rFonts w:ascii="Cambria" w:hAnsi="Cambria"/>
        </w:rPr>
        <w:t>stało</w:t>
      </w:r>
      <w:r w:rsidRPr="00E03635">
        <w:rPr>
          <w:rFonts w:ascii="Cambria" w:hAnsi="Cambria"/>
        </w:rPr>
        <w:t xml:space="preserve"> ujawnione przy </w:t>
      </w:r>
      <w:r>
        <w:rPr>
          <w:rFonts w:ascii="Cambria" w:hAnsi="Cambria" w:cs="Arial"/>
          <w:shd w:val="clear" w:color="auto" w:fill="FFFFFF"/>
        </w:rPr>
        <w:t>ul</w:t>
      </w:r>
      <w:r w:rsidR="00794A72">
        <w:rPr>
          <w:rFonts w:ascii="Cambria" w:hAnsi="Cambria" w:cs="Arial"/>
          <w:shd w:val="clear" w:color="auto" w:fill="FFFFFF"/>
        </w:rPr>
        <w:t>. (gdzie?)......................</w:t>
      </w:r>
      <w:r w:rsidRPr="00E03635">
        <w:rPr>
          <w:rFonts w:ascii="Cambria" w:hAnsi="Cambria"/>
        </w:rPr>
        <w:t xml:space="preserve">, stąd wskazana właściwość </w:t>
      </w:r>
      <w:r>
        <w:rPr>
          <w:rFonts w:ascii="Cambria" w:hAnsi="Cambria"/>
        </w:rPr>
        <w:t>miejscowa organu,</w:t>
      </w:r>
      <w:r w:rsidRPr="00E03635">
        <w:rPr>
          <w:rFonts w:ascii="Cambria" w:hAnsi="Cambria"/>
        </w:rPr>
        <w:t xml:space="preserve"> tj. </w:t>
      </w:r>
      <w:r w:rsidRPr="00057B6F">
        <w:rPr>
          <w:rFonts w:ascii="Cambria" w:hAnsi="Cambria"/>
        </w:rPr>
        <w:t xml:space="preserve">Prokuratura Rejonowa </w:t>
      </w:r>
      <w:r w:rsidR="00794A72">
        <w:rPr>
          <w:rFonts w:ascii="Cambria" w:hAnsi="Cambria"/>
        </w:rPr>
        <w:t>(…………)</w:t>
      </w:r>
      <w:r>
        <w:rPr>
          <w:rFonts w:ascii="Cambria" w:hAnsi="Cambria"/>
        </w:rPr>
        <w:t>, jest w </w:t>
      </w:r>
      <w:r w:rsidRPr="00E03635">
        <w:rPr>
          <w:rFonts w:ascii="Cambria" w:hAnsi="Cambria"/>
        </w:rPr>
        <w:t>pełni zasadna.</w:t>
      </w:r>
    </w:p>
    <w:p w:rsidR="00BF3067" w:rsidRPr="00486705" w:rsidRDefault="00BF3067" w:rsidP="002121D3">
      <w:pPr>
        <w:spacing w:after="0"/>
        <w:jc w:val="both"/>
        <w:rPr>
          <w:rFonts w:asciiTheme="majorHAnsi" w:hAnsiTheme="majorHAnsi"/>
        </w:rPr>
      </w:pPr>
    </w:p>
    <w:p w:rsidR="003F4D12" w:rsidRPr="00486705" w:rsidRDefault="003F4D12" w:rsidP="002121D3">
      <w:pPr>
        <w:spacing w:after="0"/>
        <w:jc w:val="both"/>
        <w:rPr>
          <w:rFonts w:asciiTheme="majorHAnsi" w:hAnsiTheme="majorHAnsi"/>
        </w:rPr>
      </w:pPr>
      <w:r w:rsidRPr="00486705">
        <w:rPr>
          <w:rFonts w:asciiTheme="majorHAnsi" w:hAnsiTheme="majorHAnsi"/>
        </w:rPr>
        <w:lastRenderedPageBreak/>
        <w:tab/>
        <w:t xml:space="preserve">W związku </w:t>
      </w:r>
      <w:r w:rsidR="00A839A0" w:rsidRPr="00486705">
        <w:rPr>
          <w:rFonts w:asciiTheme="majorHAnsi" w:hAnsiTheme="majorHAnsi"/>
        </w:rPr>
        <w:t>z obrazą moich uczuć religijnych oraz znie</w:t>
      </w:r>
      <w:r w:rsidR="00794A72">
        <w:rPr>
          <w:rFonts w:asciiTheme="majorHAnsi" w:hAnsiTheme="majorHAnsi"/>
        </w:rPr>
        <w:t>ważeniem chrześcijan</w:t>
      </w:r>
      <w:r w:rsidR="00A839A0" w:rsidRPr="00486705">
        <w:rPr>
          <w:rFonts w:asciiTheme="majorHAnsi" w:hAnsiTheme="majorHAnsi"/>
        </w:rPr>
        <w:t>,</w:t>
      </w:r>
      <w:r w:rsidR="00A04166" w:rsidRPr="00486705">
        <w:rPr>
          <w:rFonts w:asciiTheme="majorHAnsi" w:hAnsiTheme="majorHAnsi"/>
        </w:rPr>
        <w:t xml:space="preserve"> zawiadamiam</w:t>
      </w:r>
      <w:r w:rsidRPr="00486705">
        <w:rPr>
          <w:rFonts w:asciiTheme="majorHAnsi" w:hAnsiTheme="majorHAnsi"/>
        </w:rPr>
        <w:t xml:space="preserve"> jak na wstępie. </w:t>
      </w:r>
      <w:r w:rsidR="004302B1" w:rsidRPr="00486705">
        <w:rPr>
          <w:rFonts w:asciiTheme="majorHAnsi" w:hAnsiTheme="majorHAnsi"/>
        </w:rPr>
        <w:t xml:space="preserve"> </w:t>
      </w:r>
    </w:p>
    <w:p w:rsidR="004302B1" w:rsidRPr="00486705" w:rsidRDefault="004302B1" w:rsidP="002121D3">
      <w:pPr>
        <w:spacing w:after="0"/>
        <w:jc w:val="both"/>
        <w:rPr>
          <w:rFonts w:asciiTheme="majorHAnsi" w:hAnsiTheme="majorHAnsi"/>
        </w:rPr>
      </w:pPr>
    </w:p>
    <w:p w:rsidR="00DA71C8" w:rsidRPr="00486705" w:rsidRDefault="00DA71C8" w:rsidP="00C71BAB">
      <w:pPr>
        <w:spacing w:after="0"/>
        <w:jc w:val="both"/>
        <w:rPr>
          <w:rFonts w:asciiTheme="majorHAnsi" w:hAnsiTheme="majorHAnsi"/>
        </w:rPr>
      </w:pPr>
    </w:p>
    <w:p w:rsidR="00C71BAB" w:rsidRPr="00486705" w:rsidRDefault="00C71BAB" w:rsidP="00C71BAB">
      <w:pPr>
        <w:spacing w:after="0"/>
        <w:jc w:val="both"/>
        <w:rPr>
          <w:rFonts w:asciiTheme="majorHAnsi" w:hAnsiTheme="majorHAnsi"/>
        </w:rPr>
      </w:pPr>
    </w:p>
    <w:p w:rsidR="004302B1" w:rsidRPr="00486705" w:rsidRDefault="00C71BAB" w:rsidP="00F020CD">
      <w:pPr>
        <w:spacing w:after="0"/>
        <w:ind w:left="7655"/>
        <w:jc w:val="both"/>
        <w:rPr>
          <w:rFonts w:asciiTheme="majorHAnsi" w:hAnsiTheme="majorHAnsi"/>
          <w:i/>
        </w:rPr>
      </w:pPr>
      <w:r w:rsidRPr="00486705">
        <w:rPr>
          <w:rFonts w:asciiTheme="majorHAnsi" w:hAnsiTheme="majorHAnsi"/>
        </w:rPr>
        <w:t>/podpis/</w:t>
      </w:r>
    </w:p>
    <w:p w:rsidR="004302B1" w:rsidRPr="00486705" w:rsidRDefault="004302B1" w:rsidP="002121D3">
      <w:pPr>
        <w:spacing w:after="0"/>
        <w:jc w:val="both"/>
        <w:rPr>
          <w:rFonts w:asciiTheme="majorHAnsi" w:hAnsiTheme="majorHAnsi"/>
        </w:rPr>
      </w:pPr>
    </w:p>
    <w:p w:rsidR="004302B1" w:rsidRPr="00486705" w:rsidRDefault="004302B1" w:rsidP="002121D3">
      <w:pPr>
        <w:spacing w:after="0"/>
        <w:jc w:val="both"/>
        <w:rPr>
          <w:rFonts w:asciiTheme="majorHAnsi" w:hAnsiTheme="majorHAnsi"/>
        </w:rPr>
      </w:pPr>
    </w:p>
    <w:p w:rsidR="004302B1" w:rsidRPr="00486705" w:rsidRDefault="004302B1" w:rsidP="002121D3">
      <w:pPr>
        <w:spacing w:after="0"/>
        <w:jc w:val="both"/>
        <w:rPr>
          <w:rFonts w:asciiTheme="majorHAnsi" w:hAnsiTheme="majorHAnsi"/>
        </w:rPr>
      </w:pPr>
    </w:p>
    <w:p w:rsidR="00A41F93" w:rsidRPr="00486705" w:rsidRDefault="00A41F93" w:rsidP="00560691">
      <w:pPr>
        <w:pStyle w:val="Akapitzlist"/>
        <w:spacing w:after="0"/>
        <w:ind w:left="0"/>
        <w:rPr>
          <w:rFonts w:asciiTheme="majorHAnsi" w:hAnsiTheme="majorHAnsi"/>
          <w:b/>
        </w:rPr>
      </w:pPr>
    </w:p>
    <w:sectPr w:rsidR="00A41F93" w:rsidRPr="00486705" w:rsidSect="0088615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2D8B" w:rsidRDefault="00182D8B" w:rsidP="009A6128">
      <w:pPr>
        <w:spacing w:after="0" w:line="240" w:lineRule="auto"/>
      </w:pPr>
      <w:r>
        <w:separator/>
      </w:r>
    </w:p>
  </w:endnote>
  <w:endnote w:type="continuationSeparator" w:id="0">
    <w:p w:rsidR="00182D8B" w:rsidRDefault="00182D8B" w:rsidP="009A61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imesNewRomanPSMT">
    <w:altName w:val="Times New Roman"/>
    <w:charset w:val="00"/>
    <w:family w:val="auto"/>
    <w:pitch w:val="variable"/>
    <w:sig w:usb0="E0002AEF" w:usb1="C0007841" w:usb2="00000009" w:usb3="00000000" w:csb0="000001FF" w:csb1="00000000"/>
  </w:font>
  <w:font w:name="TimesNewRomanPS-ItalicMT">
    <w:altName w:val="Times New Roman"/>
    <w:panose1 w:val="00000000000000000000"/>
    <w:charset w:val="EE"/>
    <w:family w:val="auto"/>
    <w:notTrueType/>
    <w:pitch w:val="default"/>
    <w:sig w:usb0="00000005" w:usb1="00000000" w:usb2="00000000" w:usb3="00000000" w:csb0="00000002"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2D8B" w:rsidRDefault="00182D8B" w:rsidP="009A6128">
      <w:pPr>
        <w:spacing w:after="0" w:line="240" w:lineRule="auto"/>
      </w:pPr>
      <w:r>
        <w:separator/>
      </w:r>
    </w:p>
  </w:footnote>
  <w:footnote w:type="continuationSeparator" w:id="0">
    <w:p w:rsidR="00182D8B" w:rsidRDefault="00182D8B" w:rsidP="009A61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87616"/>
    <w:multiLevelType w:val="hybridMultilevel"/>
    <w:tmpl w:val="31BED392"/>
    <w:lvl w:ilvl="0" w:tplc="36360828">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235A6194"/>
    <w:multiLevelType w:val="hybridMultilevel"/>
    <w:tmpl w:val="6886769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 w15:restartNumberingAfterBreak="0">
    <w:nsid w:val="33481B03"/>
    <w:multiLevelType w:val="hybridMultilevel"/>
    <w:tmpl w:val="13144B8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3EFD1EEF"/>
    <w:multiLevelType w:val="hybridMultilevel"/>
    <w:tmpl w:val="CAE8C366"/>
    <w:lvl w:ilvl="0" w:tplc="2EB8942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409A16A7"/>
    <w:multiLevelType w:val="hybridMultilevel"/>
    <w:tmpl w:val="A58A0B58"/>
    <w:lvl w:ilvl="0" w:tplc="CB0895D6">
      <w:start w:val="1"/>
      <w:numFmt w:val="decimal"/>
      <w:lvlText w:val="%1)"/>
      <w:lvlJc w:val="left"/>
      <w:pPr>
        <w:ind w:left="5605" w:hanging="360"/>
      </w:pPr>
      <w:rPr>
        <w:rFonts w:hint="default"/>
      </w:rPr>
    </w:lvl>
    <w:lvl w:ilvl="1" w:tplc="04150019" w:tentative="1">
      <w:start w:val="1"/>
      <w:numFmt w:val="lowerLetter"/>
      <w:lvlText w:val="%2."/>
      <w:lvlJc w:val="left"/>
      <w:pPr>
        <w:ind w:left="6325" w:hanging="360"/>
      </w:pPr>
    </w:lvl>
    <w:lvl w:ilvl="2" w:tplc="0415001B" w:tentative="1">
      <w:start w:val="1"/>
      <w:numFmt w:val="lowerRoman"/>
      <w:lvlText w:val="%3."/>
      <w:lvlJc w:val="right"/>
      <w:pPr>
        <w:ind w:left="7045" w:hanging="180"/>
      </w:pPr>
    </w:lvl>
    <w:lvl w:ilvl="3" w:tplc="0415000F" w:tentative="1">
      <w:start w:val="1"/>
      <w:numFmt w:val="decimal"/>
      <w:lvlText w:val="%4."/>
      <w:lvlJc w:val="left"/>
      <w:pPr>
        <w:ind w:left="7765" w:hanging="360"/>
      </w:pPr>
    </w:lvl>
    <w:lvl w:ilvl="4" w:tplc="04150019" w:tentative="1">
      <w:start w:val="1"/>
      <w:numFmt w:val="lowerLetter"/>
      <w:lvlText w:val="%5."/>
      <w:lvlJc w:val="left"/>
      <w:pPr>
        <w:ind w:left="8485" w:hanging="360"/>
      </w:pPr>
    </w:lvl>
    <w:lvl w:ilvl="5" w:tplc="0415001B" w:tentative="1">
      <w:start w:val="1"/>
      <w:numFmt w:val="lowerRoman"/>
      <w:lvlText w:val="%6."/>
      <w:lvlJc w:val="right"/>
      <w:pPr>
        <w:ind w:left="9205" w:hanging="180"/>
      </w:pPr>
    </w:lvl>
    <w:lvl w:ilvl="6" w:tplc="0415000F" w:tentative="1">
      <w:start w:val="1"/>
      <w:numFmt w:val="decimal"/>
      <w:lvlText w:val="%7."/>
      <w:lvlJc w:val="left"/>
      <w:pPr>
        <w:ind w:left="9925" w:hanging="360"/>
      </w:pPr>
    </w:lvl>
    <w:lvl w:ilvl="7" w:tplc="04150019" w:tentative="1">
      <w:start w:val="1"/>
      <w:numFmt w:val="lowerLetter"/>
      <w:lvlText w:val="%8."/>
      <w:lvlJc w:val="left"/>
      <w:pPr>
        <w:ind w:left="10645" w:hanging="360"/>
      </w:pPr>
    </w:lvl>
    <w:lvl w:ilvl="8" w:tplc="0415001B" w:tentative="1">
      <w:start w:val="1"/>
      <w:numFmt w:val="lowerRoman"/>
      <w:lvlText w:val="%9."/>
      <w:lvlJc w:val="right"/>
      <w:pPr>
        <w:ind w:left="11365" w:hanging="180"/>
      </w:pPr>
    </w:lvl>
  </w:abstractNum>
  <w:abstractNum w:abstractNumId="5" w15:restartNumberingAfterBreak="0">
    <w:nsid w:val="51600B41"/>
    <w:multiLevelType w:val="hybridMultilevel"/>
    <w:tmpl w:val="14A6A2BC"/>
    <w:lvl w:ilvl="0" w:tplc="04150019">
      <w:start w:val="1"/>
      <w:numFmt w:val="lowerLetter"/>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 w15:restartNumberingAfterBreak="0">
    <w:nsid w:val="5390756F"/>
    <w:multiLevelType w:val="hybridMultilevel"/>
    <w:tmpl w:val="E50C810E"/>
    <w:lvl w:ilvl="0" w:tplc="5E3CA1C4">
      <w:start w:val="1"/>
      <w:numFmt w:val="bullet"/>
      <w:lvlText w:val=""/>
      <w:lvlJc w:val="left"/>
      <w:pPr>
        <w:ind w:left="5965" w:hanging="360"/>
      </w:pPr>
      <w:rPr>
        <w:rFonts w:ascii="Symbol" w:hAnsi="Symbol" w:hint="default"/>
      </w:rPr>
    </w:lvl>
    <w:lvl w:ilvl="1" w:tplc="04150003" w:tentative="1">
      <w:start w:val="1"/>
      <w:numFmt w:val="bullet"/>
      <w:lvlText w:val="o"/>
      <w:lvlJc w:val="left"/>
      <w:pPr>
        <w:ind w:left="6685" w:hanging="360"/>
      </w:pPr>
      <w:rPr>
        <w:rFonts w:ascii="Courier New" w:hAnsi="Courier New" w:cs="Courier New" w:hint="default"/>
      </w:rPr>
    </w:lvl>
    <w:lvl w:ilvl="2" w:tplc="04150005" w:tentative="1">
      <w:start w:val="1"/>
      <w:numFmt w:val="bullet"/>
      <w:lvlText w:val=""/>
      <w:lvlJc w:val="left"/>
      <w:pPr>
        <w:ind w:left="7405" w:hanging="360"/>
      </w:pPr>
      <w:rPr>
        <w:rFonts w:ascii="Wingdings" w:hAnsi="Wingdings" w:hint="default"/>
      </w:rPr>
    </w:lvl>
    <w:lvl w:ilvl="3" w:tplc="04150001" w:tentative="1">
      <w:start w:val="1"/>
      <w:numFmt w:val="bullet"/>
      <w:lvlText w:val=""/>
      <w:lvlJc w:val="left"/>
      <w:pPr>
        <w:ind w:left="8125" w:hanging="360"/>
      </w:pPr>
      <w:rPr>
        <w:rFonts w:ascii="Symbol" w:hAnsi="Symbol" w:hint="default"/>
      </w:rPr>
    </w:lvl>
    <w:lvl w:ilvl="4" w:tplc="04150003" w:tentative="1">
      <w:start w:val="1"/>
      <w:numFmt w:val="bullet"/>
      <w:lvlText w:val="o"/>
      <w:lvlJc w:val="left"/>
      <w:pPr>
        <w:ind w:left="8845" w:hanging="360"/>
      </w:pPr>
      <w:rPr>
        <w:rFonts w:ascii="Courier New" w:hAnsi="Courier New" w:cs="Courier New" w:hint="default"/>
      </w:rPr>
    </w:lvl>
    <w:lvl w:ilvl="5" w:tplc="04150005" w:tentative="1">
      <w:start w:val="1"/>
      <w:numFmt w:val="bullet"/>
      <w:lvlText w:val=""/>
      <w:lvlJc w:val="left"/>
      <w:pPr>
        <w:ind w:left="9565" w:hanging="360"/>
      </w:pPr>
      <w:rPr>
        <w:rFonts w:ascii="Wingdings" w:hAnsi="Wingdings" w:hint="default"/>
      </w:rPr>
    </w:lvl>
    <w:lvl w:ilvl="6" w:tplc="04150001" w:tentative="1">
      <w:start w:val="1"/>
      <w:numFmt w:val="bullet"/>
      <w:lvlText w:val=""/>
      <w:lvlJc w:val="left"/>
      <w:pPr>
        <w:ind w:left="10285" w:hanging="360"/>
      </w:pPr>
      <w:rPr>
        <w:rFonts w:ascii="Symbol" w:hAnsi="Symbol" w:hint="default"/>
      </w:rPr>
    </w:lvl>
    <w:lvl w:ilvl="7" w:tplc="04150003" w:tentative="1">
      <w:start w:val="1"/>
      <w:numFmt w:val="bullet"/>
      <w:lvlText w:val="o"/>
      <w:lvlJc w:val="left"/>
      <w:pPr>
        <w:ind w:left="11005" w:hanging="360"/>
      </w:pPr>
      <w:rPr>
        <w:rFonts w:ascii="Courier New" w:hAnsi="Courier New" w:cs="Courier New" w:hint="default"/>
      </w:rPr>
    </w:lvl>
    <w:lvl w:ilvl="8" w:tplc="04150005" w:tentative="1">
      <w:start w:val="1"/>
      <w:numFmt w:val="bullet"/>
      <w:lvlText w:val=""/>
      <w:lvlJc w:val="left"/>
      <w:pPr>
        <w:ind w:left="11725" w:hanging="360"/>
      </w:pPr>
      <w:rPr>
        <w:rFonts w:ascii="Wingdings" w:hAnsi="Wingdings" w:hint="default"/>
      </w:rPr>
    </w:lvl>
  </w:abstractNum>
  <w:abstractNum w:abstractNumId="7" w15:restartNumberingAfterBreak="0">
    <w:nsid w:val="559B638C"/>
    <w:multiLevelType w:val="hybridMultilevel"/>
    <w:tmpl w:val="78CEDFB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5E500BC"/>
    <w:multiLevelType w:val="hybridMultilevel"/>
    <w:tmpl w:val="14A6A2BC"/>
    <w:lvl w:ilvl="0" w:tplc="04150019">
      <w:start w:val="1"/>
      <w:numFmt w:val="lowerLetter"/>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 w15:restartNumberingAfterBreak="0">
    <w:nsid w:val="601970ED"/>
    <w:multiLevelType w:val="hybridMultilevel"/>
    <w:tmpl w:val="28CC86B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7C923509"/>
    <w:multiLevelType w:val="hybridMultilevel"/>
    <w:tmpl w:val="8F82F93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
  </w:num>
  <w:num w:numId="2">
    <w:abstractNumId w:val="2"/>
  </w:num>
  <w:num w:numId="3">
    <w:abstractNumId w:val="9"/>
  </w:num>
  <w:num w:numId="4">
    <w:abstractNumId w:val="10"/>
  </w:num>
  <w:num w:numId="5">
    <w:abstractNumId w:val="5"/>
  </w:num>
  <w:num w:numId="6">
    <w:abstractNumId w:val="8"/>
  </w:num>
  <w:num w:numId="7">
    <w:abstractNumId w:val="4"/>
  </w:num>
  <w:num w:numId="8">
    <w:abstractNumId w:val="0"/>
  </w:num>
  <w:num w:numId="9">
    <w:abstractNumId w:val="7"/>
  </w:num>
  <w:num w:numId="10">
    <w:abstractNumId w:val="3"/>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49FF"/>
    <w:rsid w:val="00040321"/>
    <w:rsid w:val="00051904"/>
    <w:rsid w:val="00074FE0"/>
    <w:rsid w:val="000A550E"/>
    <w:rsid w:val="000B0EE1"/>
    <w:rsid w:val="000B2D9D"/>
    <w:rsid w:val="000C4DAB"/>
    <w:rsid w:val="000D7C25"/>
    <w:rsid w:val="000E006C"/>
    <w:rsid w:val="000E6A95"/>
    <w:rsid w:val="000F6747"/>
    <w:rsid w:val="0013452A"/>
    <w:rsid w:val="00147139"/>
    <w:rsid w:val="00164F5F"/>
    <w:rsid w:val="00182D8B"/>
    <w:rsid w:val="00192D36"/>
    <w:rsid w:val="001C3AAA"/>
    <w:rsid w:val="001C5FD3"/>
    <w:rsid w:val="001D3F6D"/>
    <w:rsid w:val="001D7ED7"/>
    <w:rsid w:val="001F0D4C"/>
    <w:rsid w:val="001F2F7F"/>
    <w:rsid w:val="002039BA"/>
    <w:rsid w:val="002121D3"/>
    <w:rsid w:val="002668CC"/>
    <w:rsid w:val="00267EEC"/>
    <w:rsid w:val="00282C21"/>
    <w:rsid w:val="00296606"/>
    <w:rsid w:val="002C60CB"/>
    <w:rsid w:val="002F2CB4"/>
    <w:rsid w:val="00313C6B"/>
    <w:rsid w:val="00334450"/>
    <w:rsid w:val="00356BAE"/>
    <w:rsid w:val="00362195"/>
    <w:rsid w:val="0037521B"/>
    <w:rsid w:val="00396825"/>
    <w:rsid w:val="003B2C15"/>
    <w:rsid w:val="003D4C8A"/>
    <w:rsid w:val="003E048D"/>
    <w:rsid w:val="003F4D12"/>
    <w:rsid w:val="0041520A"/>
    <w:rsid w:val="00427049"/>
    <w:rsid w:val="004302B1"/>
    <w:rsid w:val="00442CBB"/>
    <w:rsid w:val="00462048"/>
    <w:rsid w:val="00486705"/>
    <w:rsid w:val="004E493E"/>
    <w:rsid w:val="005015AA"/>
    <w:rsid w:val="00505A37"/>
    <w:rsid w:val="00520AB4"/>
    <w:rsid w:val="00524496"/>
    <w:rsid w:val="00560691"/>
    <w:rsid w:val="00587DD2"/>
    <w:rsid w:val="005B5F68"/>
    <w:rsid w:val="005F79A4"/>
    <w:rsid w:val="00612A0E"/>
    <w:rsid w:val="00632C87"/>
    <w:rsid w:val="00641C60"/>
    <w:rsid w:val="00660406"/>
    <w:rsid w:val="00664929"/>
    <w:rsid w:val="00670E6A"/>
    <w:rsid w:val="00696892"/>
    <w:rsid w:val="006B64BF"/>
    <w:rsid w:val="006E0F5A"/>
    <w:rsid w:val="00707EBD"/>
    <w:rsid w:val="00753ACF"/>
    <w:rsid w:val="00764AB3"/>
    <w:rsid w:val="00794A72"/>
    <w:rsid w:val="007A677E"/>
    <w:rsid w:val="007D6E30"/>
    <w:rsid w:val="007F712A"/>
    <w:rsid w:val="00811B58"/>
    <w:rsid w:val="00844DFB"/>
    <w:rsid w:val="00856613"/>
    <w:rsid w:val="00857350"/>
    <w:rsid w:val="00886154"/>
    <w:rsid w:val="008A00E4"/>
    <w:rsid w:val="008B3C6C"/>
    <w:rsid w:val="008B6CFB"/>
    <w:rsid w:val="008D7C30"/>
    <w:rsid w:val="008E1B4E"/>
    <w:rsid w:val="009266C7"/>
    <w:rsid w:val="009526B2"/>
    <w:rsid w:val="00982B34"/>
    <w:rsid w:val="009901B3"/>
    <w:rsid w:val="009929D7"/>
    <w:rsid w:val="00996861"/>
    <w:rsid w:val="009A6128"/>
    <w:rsid w:val="00A04166"/>
    <w:rsid w:val="00A142E5"/>
    <w:rsid w:val="00A27B3C"/>
    <w:rsid w:val="00A41F93"/>
    <w:rsid w:val="00A543C4"/>
    <w:rsid w:val="00A62636"/>
    <w:rsid w:val="00A839A0"/>
    <w:rsid w:val="00A954A8"/>
    <w:rsid w:val="00A95BBE"/>
    <w:rsid w:val="00AA786A"/>
    <w:rsid w:val="00AB2C17"/>
    <w:rsid w:val="00AC4A06"/>
    <w:rsid w:val="00AC688C"/>
    <w:rsid w:val="00AE3C0B"/>
    <w:rsid w:val="00B047D7"/>
    <w:rsid w:val="00B17E95"/>
    <w:rsid w:val="00B46622"/>
    <w:rsid w:val="00B51C9C"/>
    <w:rsid w:val="00B60D8C"/>
    <w:rsid w:val="00B73927"/>
    <w:rsid w:val="00BB58AC"/>
    <w:rsid w:val="00BC55D8"/>
    <w:rsid w:val="00BD5B6F"/>
    <w:rsid w:val="00BE3EF4"/>
    <w:rsid w:val="00BF3067"/>
    <w:rsid w:val="00C15025"/>
    <w:rsid w:val="00C320AD"/>
    <w:rsid w:val="00C46E58"/>
    <w:rsid w:val="00C55B19"/>
    <w:rsid w:val="00C71BAB"/>
    <w:rsid w:val="00C9425F"/>
    <w:rsid w:val="00CA740E"/>
    <w:rsid w:val="00CC31D5"/>
    <w:rsid w:val="00CC47AD"/>
    <w:rsid w:val="00CE2EC4"/>
    <w:rsid w:val="00D17B8D"/>
    <w:rsid w:val="00D37585"/>
    <w:rsid w:val="00D56801"/>
    <w:rsid w:val="00D66F5D"/>
    <w:rsid w:val="00D71A30"/>
    <w:rsid w:val="00D87FE8"/>
    <w:rsid w:val="00DA71C8"/>
    <w:rsid w:val="00DD1937"/>
    <w:rsid w:val="00DF2025"/>
    <w:rsid w:val="00E25AE0"/>
    <w:rsid w:val="00E7474C"/>
    <w:rsid w:val="00EA0F0F"/>
    <w:rsid w:val="00EC34FA"/>
    <w:rsid w:val="00EC7701"/>
    <w:rsid w:val="00ED5859"/>
    <w:rsid w:val="00EE3F25"/>
    <w:rsid w:val="00EF6077"/>
    <w:rsid w:val="00F020CD"/>
    <w:rsid w:val="00F141A7"/>
    <w:rsid w:val="00F20E9E"/>
    <w:rsid w:val="00F31A39"/>
    <w:rsid w:val="00F35071"/>
    <w:rsid w:val="00F549FF"/>
    <w:rsid w:val="00F829E9"/>
    <w:rsid w:val="00F863D4"/>
    <w:rsid w:val="00F922CF"/>
    <w:rsid w:val="00FA1A4E"/>
    <w:rsid w:val="00FA5FFF"/>
    <w:rsid w:val="00FB4466"/>
    <w:rsid w:val="00FD68C2"/>
    <w:rsid w:val="00FF129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CFF28"/>
  <w15:docId w15:val="{3A88C7EA-CD5F-46FE-A118-82B07BB40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86154"/>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kocowego">
    <w:name w:val="endnote text"/>
    <w:basedOn w:val="Normalny"/>
    <w:link w:val="TekstprzypisukocowegoZnak"/>
    <w:uiPriority w:val="99"/>
    <w:semiHidden/>
    <w:unhideWhenUsed/>
    <w:rsid w:val="009A6128"/>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9A6128"/>
    <w:rPr>
      <w:sz w:val="20"/>
      <w:szCs w:val="20"/>
    </w:rPr>
  </w:style>
  <w:style w:type="character" w:styleId="Odwoanieprzypisukocowego">
    <w:name w:val="endnote reference"/>
    <w:basedOn w:val="Domylnaczcionkaakapitu"/>
    <w:uiPriority w:val="99"/>
    <w:semiHidden/>
    <w:unhideWhenUsed/>
    <w:rsid w:val="009A6128"/>
    <w:rPr>
      <w:vertAlign w:val="superscript"/>
    </w:rPr>
  </w:style>
  <w:style w:type="paragraph" w:styleId="Tekstprzypisudolnego">
    <w:name w:val="footnote text"/>
    <w:basedOn w:val="Normalny"/>
    <w:link w:val="TekstprzypisudolnegoZnak"/>
    <w:uiPriority w:val="99"/>
    <w:semiHidden/>
    <w:unhideWhenUsed/>
    <w:rsid w:val="001C5FD3"/>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1C5FD3"/>
    <w:rPr>
      <w:sz w:val="20"/>
      <w:szCs w:val="20"/>
    </w:rPr>
  </w:style>
  <w:style w:type="character" w:styleId="Odwoanieprzypisudolnego">
    <w:name w:val="footnote reference"/>
    <w:basedOn w:val="Domylnaczcionkaakapitu"/>
    <w:uiPriority w:val="99"/>
    <w:semiHidden/>
    <w:unhideWhenUsed/>
    <w:rsid w:val="001C5FD3"/>
    <w:rPr>
      <w:vertAlign w:val="superscript"/>
    </w:rPr>
  </w:style>
  <w:style w:type="paragraph" w:styleId="Akapitzlist">
    <w:name w:val="List Paragraph"/>
    <w:basedOn w:val="Normalny"/>
    <w:qFormat/>
    <w:rsid w:val="00A41F93"/>
    <w:pPr>
      <w:ind w:left="720"/>
      <w:contextualSpacing/>
    </w:pPr>
  </w:style>
  <w:style w:type="paragraph" w:styleId="Tekstdymka">
    <w:name w:val="Balloon Text"/>
    <w:basedOn w:val="Normalny"/>
    <w:link w:val="TekstdymkaZnak"/>
    <w:uiPriority w:val="99"/>
    <w:semiHidden/>
    <w:unhideWhenUsed/>
    <w:rsid w:val="00442CB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42CBB"/>
    <w:rPr>
      <w:rFonts w:ascii="Tahoma" w:hAnsi="Tahoma" w:cs="Tahoma"/>
      <w:sz w:val="16"/>
      <w:szCs w:val="16"/>
    </w:rPr>
  </w:style>
  <w:style w:type="character" w:styleId="Odwoaniedokomentarza">
    <w:name w:val="annotation reference"/>
    <w:basedOn w:val="Domylnaczcionkaakapitu"/>
    <w:uiPriority w:val="99"/>
    <w:semiHidden/>
    <w:unhideWhenUsed/>
    <w:rsid w:val="00612A0E"/>
    <w:rPr>
      <w:sz w:val="16"/>
      <w:szCs w:val="16"/>
    </w:rPr>
  </w:style>
  <w:style w:type="paragraph" w:styleId="Tekstkomentarza">
    <w:name w:val="annotation text"/>
    <w:basedOn w:val="Normalny"/>
    <w:link w:val="TekstkomentarzaZnak"/>
    <w:uiPriority w:val="99"/>
    <w:semiHidden/>
    <w:unhideWhenUsed/>
    <w:rsid w:val="00612A0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612A0E"/>
    <w:rPr>
      <w:sz w:val="20"/>
      <w:szCs w:val="20"/>
    </w:rPr>
  </w:style>
  <w:style w:type="paragraph" w:styleId="Tematkomentarza">
    <w:name w:val="annotation subject"/>
    <w:basedOn w:val="Tekstkomentarza"/>
    <w:next w:val="Tekstkomentarza"/>
    <w:link w:val="TematkomentarzaZnak"/>
    <w:uiPriority w:val="99"/>
    <w:semiHidden/>
    <w:unhideWhenUsed/>
    <w:rsid w:val="00612A0E"/>
    <w:rPr>
      <w:b/>
      <w:bCs/>
    </w:rPr>
  </w:style>
  <w:style w:type="character" w:customStyle="1" w:styleId="TematkomentarzaZnak">
    <w:name w:val="Temat komentarza Znak"/>
    <w:basedOn w:val="TekstkomentarzaZnak"/>
    <w:link w:val="Tematkomentarza"/>
    <w:uiPriority w:val="99"/>
    <w:semiHidden/>
    <w:rsid w:val="00612A0E"/>
    <w:rPr>
      <w:b/>
      <w:bCs/>
      <w:sz w:val="20"/>
      <w:szCs w:val="20"/>
    </w:rPr>
  </w:style>
  <w:style w:type="paragraph" w:styleId="Nagwek">
    <w:name w:val="header"/>
    <w:basedOn w:val="Normalny"/>
    <w:link w:val="NagwekZnak"/>
    <w:uiPriority w:val="99"/>
    <w:semiHidden/>
    <w:unhideWhenUsed/>
    <w:rsid w:val="00612A0E"/>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612A0E"/>
  </w:style>
  <w:style w:type="paragraph" w:styleId="Stopka">
    <w:name w:val="footer"/>
    <w:basedOn w:val="Normalny"/>
    <w:link w:val="StopkaZnak"/>
    <w:uiPriority w:val="99"/>
    <w:semiHidden/>
    <w:unhideWhenUsed/>
    <w:rsid w:val="00612A0E"/>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612A0E"/>
  </w:style>
  <w:style w:type="character" w:styleId="Hipercze">
    <w:name w:val="Hyperlink"/>
    <w:basedOn w:val="Domylnaczcionkaakapitu"/>
    <w:uiPriority w:val="99"/>
    <w:unhideWhenUsed/>
    <w:rsid w:val="00AA786A"/>
    <w:rPr>
      <w:color w:val="0000FF" w:themeColor="hyperlink"/>
      <w:u w:val="single"/>
    </w:rPr>
  </w:style>
  <w:style w:type="character" w:customStyle="1" w:styleId="georgia13">
    <w:name w:val="georgia_13"/>
    <w:basedOn w:val="Domylnaczcionkaakapitu"/>
    <w:rsid w:val="00707EBD"/>
  </w:style>
  <w:style w:type="character" w:styleId="UyteHipercze">
    <w:name w:val="FollowedHyperlink"/>
    <w:basedOn w:val="Domylnaczcionkaakapitu"/>
    <w:uiPriority w:val="99"/>
    <w:semiHidden/>
    <w:unhideWhenUsed/>
    <w:rsid w:val="003D4C8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1036470">
      <w:bodyDiv w:val="1"/>
      <w:marLeft w:val="0"/>
      <w:marRight w:val="0"/>
      <w:marTop w:val="0"/>
      <w:marBottom w:val="0"/>
      <w:divBdr>
        <w:top w:val="none" w:sz="0" w:space="0" w:color="auto"/>
        <w:left w:val="none" w:sz="0" w:space="0" w:color="auto"/>
        <w:bottom w:val="none" w:sz="0" w:space="0" w:color="auto"/>
        <w:right w:val="none" w:sz="0" w:space="0" w:color="auto"/>
      </w:divBdr>
    </w:div>
    <w:div w:id="1421289639">
      <w:bodyDiv w:val="1"/>
      <w:marLeft w:val="0"/>
      <w:marRight w:val="0"/>
      <w:marTop w:val="0"/>
      <w:marBottom w:val="0"/>
      <w:divBdr>
        <w:top w:val="none" w:sz="0" w:space="0" w:color="auto"/>
        <w:left w:val="none" w:sz="0" w:space="0" w:color="auto"/>
        <w:bottom w:val="none" w:sz="0" w:space="0" w:color="auto"/>
        <w:right w:val="none" w:sz="0" w:space="0" w:color="auto"/>
      </w:divBdr>
    </w:div>
    <w:div w:id="1445924197">
      <w:bodyDiv w:val="1"/>
      <w:marLeft w:val="0"/>
      <w:marRight w:val="0"/>
      <w:marTop w:val="0"/>
      <w:marBottom w:val="0"/>
      <w:divBdr>
        <w:top w:val="none" w:sz="0" w:space="0" w:color="auto"/>
        <w:left w:val="none" w:sz="0" w:space="0" w:color="auto"/>
        <w:bottom w:val="none" w:sz="0" w:space="0" w:color="auto"/>
        <w:right w:val="none" w:sz="0" w:space="0" w:color="auto"/>
      </w:divBdr>
      <w:divsChild>
        <w:div w:id="259417090">
          <w:marLeft w:val="0"/>
          <w:marRight w:val="0"/>
          <w:marTop w:val="0"/>
          <w:marBottom w:val="0"/>
          <w:divBdr>
            <w:top w:val="none" w:sz="0" w:space="0" w:color="auto"/>
            <w:left w:val="none" w:sz="0" w:space="0" w:color="auto"/>
            <w:bottom w:val="none" w:sz="0" w:space="0" w:color="auto"/>
            <w:right w:val="none" w:sz="0" w:space="0" w:color="auto"/>
          </w:divBdr>
          <w:divsChild>
            <w:div w:id="266697213">
              <w:marLeft w:val="0"/>
              <w:marRight w:val="0"/>
              <w:marTop w:val="0"/>
              <w:marBottom w:val="0"/>
              <w:divBdr>
                <w:top w:val="none" w:sz="0" w:space="0" w:color="auto"/>
                <w:left w:val="none" w:sz="0" w:space="0" w:color="auto"/>
                <w:bottom w:val="none" w:sz="0" w:space="0" w:color="auto"/>
                <w:right w:val="none" w:sz="0" w:space="0" w:color="auto"/>
              </w:divBdr>
            </w:div>
            <w:div w:id="99493677">
              <w:marLeft w:val="0"/>
              <w:marRight w:val="0"/>
              <w:marTop w:val="0"/>
              <w:marBottom w:val="0"/>
              <w:divBdr>
                <w:top w:val="none" w:sz="0" w:space="0" w:color="auto"/>
                <w:left w:val="none" w:sz="0" w:space="0" w:color="auto"/>
                <w:bottom w:val="none" w:sz="0" w:space="0" w:color="auto"/>
                <w:right w:val="none" w:sz="0" w:space="0" w:color="auto"/>
              </w:divBdr>
            </w:div>
          </w:divsChild>
        </w:div>
        <w:div w:id="481653154">
          <w:marLeft w:val="0"/>
          <w:marRight w:val="0"/>
          <w:marTop w:val="0"/>
          <w:marBottom w:val="0"/>
          <w:divBdr>
            <w:top w:val="none" w:sz="0" w:space="0" w:color="auto"/>
            <w:left w:val="none" w:sz="0" w:space="0" w:color="auto"/>
            <w:bottom w:val="none" w:sz="0" w:space="0" w:color="auto"/>
            <w:right w:val="none" w:sz="0" w:space="0" w:color="auto"/>
          </w:divBdr>
          <w:divsChild>
            <w:div w:id="1299149104">
              <w:marLeft w:val="0"/>
              <w:marRight w:val="0"/>
              <w:marTop w:val="0"/>
              <w:marBottom w:val="0"/>
              <w:divBdr>
                <w:top w:val="none" w:sz="0" w:space="0" w:color="auto"/>
                <w:left w:val="none" w:sz="0" w:space="0" w:color="auto"/>
                <w:bottom w:val="none" w:sz="0" w:space="0" w:color="auto"/>
                <w:right w:val="none" w:sz="0" w:space="0" w:color="auto"/>
              </w:divBdr>
            </w:div>
            <w:div w:id="2043818365">
              <w:marLeft w:val="0"/>
              <w:marRight w:val="0"/>
              <w:marTop w:val="0"/>
              <w:marBottom w:val="0"/>
              <w:divBdr>
                <w:top w:val="none" w:sz="0" w:space="0" w:color="auto"/>
                <w:left w:val="none" w:sz="0" w:space="0" w:color="auto"/>
                <w:bottom w:val="none" w:sz="0" w:space="0" w:color="auto"/>
                <w:right w:val="none" w:sz="0" w:space="0" w:color="auto"/>
              </w:divBdr>
            </w:div>
          </w:divsChild>
        </w:div>
        <w:div w:id="643586623">
          <w:marLeft w:val="0"/>
          <w:marRight w:val="0"/>
          <w:marTop w:val="0"/>
          <w:marBottom w:val="0"/>
          <w:divBdr>
            <w:top w:val="none" w:sz="0" w:space="0" w:color="auto"/>
            <w:left w:val="none" w:sz="0" w:space="0" w:color="auto"/>
            <w:bottom w:val="none" w:sz="0" w:space="0" w:color="auto"/>
            <w:right w:val="none" w:sz="0" w:space="0" w:color="auto"/>
          </w:divBdr>
          <w:divsChild>
            <w:div w:id="274023846">
              <w:marLeft w:val="0"/>
              <w:marRight w:val="0"/>
              <w:marTop w:val="0"/>
              <w:marBottom w:val="0"/>
              <w:divBdr>
                <w:top w:val="none" w:sz="0" w:space="0" w:color="auto"/>
                <w:left w:val="none" w:sz="0" w:space="0" w:color="auto"/>
                <w:bottom w:val="none" w:sz="0" w:space="0" w:color="auto"/>
                <w:right w:val="none" w:sz="0" w:space="0" w:color="auto"/>
              </w:divBdr>
            </w:div>
            <w:div w:id="502093357">
              <w:marLeft w:val="0"/>
              <w:marRight w:val="0"/>
              <w:marTop w:val="0"/>
              <w:marBottom w:val="0"/>
              <w:divBdr>
                <w:top w:val="none" w:sz="0" w:space="0" w:color="auto"/>
                <w:left w:val="none" w:sz="0" w:space="0" w:color="auto"/>
                <w:bottom w:val="none" w:sz="0" w:space="0" w:color="auto"/>
                <w:right w:val="none" w:sz="0" w:space="0" w:color="auto"/>
              </w:divBdr>
            </w:div>
          </w:divsChild>
        </w:div>
        <w:div w:id="1782794201">
          <w:marLeft w:val="0"/>
          <w:marRight w:val="0"/>
          <w:marTop w:val="0"/>
          <w:marBottom w:val="0"/>
          <w:divBdr>
            <w:top w:val="none" w:sz="0" w:space="0" w:color="auto"/>
            <w:left w:val="none" w:sz="0" w:space="0" w:color="auto"/>
            <w:bottom w:val="none" w:sz="0" w:space="0" w:color="auto"/>
            <w:right w:val="none" w:sz="0" w:space="0" w:color="auto"/>
          </w:divBdr>
          <w:divsChild>
            <w:div w:id="1287736785">
              <w:marLeft w:val="0"/>
              <w:marRight w:val="0"/>
              <w:marTop w:val="0"/>
              <w:marBottom w:val="0"/>
              <w:divBdr>
                <w:top w:val="none" w:sz="0" w:space="0" w:color="auto"/>
                <w:left w:val="none" w:sz="0" w:space="0" w:color="auto"/>
                <w:bottom w:val="none" w:sz="0" w:space="0" w:color="auto"/>
                <w:right w:val="none" w:sz="0" w:space="0" w:color="auto"/>
              </w:divBdr>
            </w:div>
            <w:div w:id="1626279159">
              <w:marLeft w:val="0"/>
              <w:marRight w:val="0"/>
              <w:marTop w:val="0"/>
              <w:marBottom w:val="0"/>
              <w:divBdr>
                <w:top w:val="none" w:sz="0" w:space="0" w:color="auto"/>
                <w:left w:val="none" w:sz="0" w:space="0" w:color="auto"/>
                <w:bottom w:val="none" w:sz="0" w:space="0" w:color="auto"/>
                <w:right w:val="none" w:sz="0" w:space="0" w:color="auto"/>
              </w:divBdr>
            </w:div>
          </w:divsChild>
        </w:div>
        <w:div w:id="2086411848">
          <w:marLeft w:val="0"/>
          <w:marRight w:val="0"/>
          <w:marTop w:val="0"/>
          <w:marBottom w:val="0"/>
          <w:divBdr>
            <w:top w:val="none" w:sz="0" w:space="0" w:color="auto"/>
            <w:left w:val="none" w:sz="0" w:space="0" w:color="auto"/>
            <w:bottom w:val="none" w:sz="0" w:space="0" w:color="auto"/>
            <w:right w:val="none" w:sz="0" w:space="0" w:color="auto"/>
          </w:divBdr>
          <w:divsChild>
            <w:div w:id="1639841848">
              <w:marLeft w:val="0"/>
              <w:marRight w:val="0"/>
              <w:marTop w:val="0"/>
              <w:marBottom w:val="0"/>
              <w:divBdr>
                <w:top w:val="none" w:sz="0" w:space="0" w:color="auto"/>
                <w:left w:val="none" w:sz="0" w:space="0" w:color="auto"/>
                <w:bottom w:val="none" w:sz="0" w:space="0" w:color="auto"/>
                <w:right w:val="none" w:sz="0" w:space="0" w:color="auto"/>
              </w:divBdr>
            </w:div>
            <w:div w:id="1780644289">
              <w:marLeft w:val="0"/>
              <w:marRight w:val="0"/>
              <w:marTop w:val="0"/>
              <w:marBottom w:val="0"/>
              <w:divBdr>
                <w:top w:val="none" w:sz="0" w:space="0" w:color="auto"/>
                <w:left w:val="none" w:sz="0" w:space="0" w:color="auto"/>
                <w:bottom w:val="none" w:sz="0" w:space="0" w:color="auto"/>
                <w:right w:val="none" w:sz="0" w:space="0" w:color="auto"/>
              </w:divBdr>
            </w:div>
          </w:divsChild>
        </w:div>
        <w:div w:id="1224297209">
          <w:marLeft w:val="0"/>
          <w:marRight w:val="0"/>
          <w:marTop w:val="0"/>
          <w:marBottom w:val="0"/>
          <w:divBdr>
            <w:top w:val="none" w:sz="0" w:space="0" w:color="auto"/>
            <w:left w:val="none" w:sz="0" w:space="0" w:color="auto"/>
            <w:bottom w:val="none" w:sz="0" w:space="0" w:color="auto"/>
            <w:right w:val="none" w:sz="0" w:space="0" w:color="auto"/>
          </w:divBdr>
          <w:divsChild>
            <w:div w:id="1183082276">
              <w:marLeft w:val="0"/>
              <w:marRight w:val="0"/>
              <w:marTop w:val="0"/>
              <w:marBottom w:val="0"/>
              <w:divBdr>
                <w:top w:val="none" w:sz="0" w:space="0" w:color="auto"/>
                <w:left w:val="none" w:sz="0" w:space="0" w:color="auto"/>
                <w:bottom w:val="none" w:sz="0" w:space="0" w:color="auto"/>
                <w:right w:val="none" w:sz="0" w:space="0" w:color="auto"/>
              </w:divBdr>
            </w:div>
            <w:div w:id="2143032413">
              <w:marLeft w:val="0"/>
              <w:marRight w:val="0"/>
              <w:marTop w:val="0"/>
              <w:marBottom w:val="0"/>
              <w:divBdr>
                <w:top w:val="none" w:sz="0" w:space="0" w:color="auto"/>
                <w:left w:val="none" w:sz="0" w:space="0" w:color="auto"/>
                <w:bottom w:val="none" w:sz="0" w:space="0" w:color="auto"/>
                <w:right w:val="none" w:sz="0" w:space="0" w:color="auto"/>
              </w:divBdr>
            </w:div>
          </w:divsChild>
        </w:div>
        <w:div w:id="400300281">
          <w:marLeft w:val="0"/>
          <w:marRight w:val="0"/>
          <w:marTop w:val="0"/>
          <w:marBottom w:val="0"/>
          <w:divBdr>
            <w:top w:val="none" w:sz="0" w:space="0" w:color="auto"/>
            <w:left w:val="none" w:sz="0" w:space="0" w:color="auto"/>
            <w:bottom w:val="none" w:sz="0" w:space="0" w:color="auto"/>
            <w:right w:val="none" w:sz="0" w:space="0" w:color="auto"/>
          </w:divBdr>
          <w:divsChild>
            <w:div w:id="1516840438">
              <w:marLeft w:val="0"/>
              <w:marRight w:val="0"/>
              <w:marTop w:val="0"/>
              <w:marBottom w:val="0"/>
              <w:divBdr>
                <w:top w:val="none" w:sz="0" w:space="0" w:color="auto"/>
                <w:left w:val="none" w:sz="0" w:space="0" w:color="auto"/>
                <w:bottom w:val="none" w:sz="0" w:space="0" w:color="auto"/>
                <w:right w:val="none" w:sz="0" w:space="0" w:color="auto"/>
              </w:divBdr>
            </w:div>
            <w:div w:id="1515145148">
              <w:marLeft w:val="0"/>
              <w:marRight w:val="0"/>
              <w:marTop w:val="0"/>
              <w:marBottom w:val="0"/>
              <w:divBdr>
                <w:top w:val="none" w:sz="0" w:space="0" w:color="auto"/>
                <w:left w:val="none" w:sz="0" w:space="0" w:color="auto"/>
                <w:bottom w:val="none" w:sz="0" w:space="0" w:color="auto"/>
                <w:right w:val="none" w:sz="0" w:space="0" w:color="auto"/>
              </w:divBdr>
            </w:div>
          </w:divsChild>
        </w:div>
        <w:div w:id="2140106482">
          <w:marLeft w:val="0"/>
          <w:marRight w:val="0"/>
          <w:marTop w:val="0"/>
          <w:marBottom w:val="0"/>
          <w:divBdr>
            <w:top w:val="none" w:sz="0" w:space="0" w:color="auto"/>
            <w:left w:val="none" w:sz="0" w:space="0" w:color="auto"/>
            <w:bottom w:val="none" w:sz="0" w:space="0" w:color="auto"/>
            <w:right w:val="none" w:sz="0" w:space="0" w:color="auto"/>
          </w:divBdr>
          <w:divsChild>
            <w:div w:id="627130699">
              <w:marLeft w:val="0"/>
              <w:marRight w:val="0"/>
              <w:marTop w:val="0"/>
              <w:marBottom w:val="0"/>
              <w:divBdr>
                <w:top w:val="none" w:sz="0" w:space="0" w:color="auto"/>
                <w:left w:val="none" w:sz="0" w:space="0" w:color="auto"/>
                <w:bottom w:val="none" w:sz="0" w:space="0" w:color="auto"/>
                <w:right w:val="none" w:sz="0" w:space="0" w:color="auto"/>
              </w:divBdr>
            </w:div>
            <w:div w:id="65809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468314">
      <w:bodyDiv w:val="1"/>
      <w:marLeft w:val="0"/>
      <w:marRight w:val="0"/>
      <w:marTop w:val="0"/>
      <w:marBottom w:val="0"/>
      <w:divBdr>
        <w:top w:val="none" w:sz="0" w:space="0" w:color="auto"/>
        <w:left w:val="none" w:sz="0" w:space="0" w:color="auto"/>
        <w:bottom w:val="none" w:sz="0" w:space="0" w:color="auto"/>
        <w:right w:val="none" w:sz="0" w:space="0" w:color="auto"/>
      </w:divBdr>
    </w:div>
    <w:div w:id="1918250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galis.pl/document-view.seam?documentId=mfrxilrtg4ytcnrwga2doltqmfyc4nbqgyztgobsgq"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galis.pl/document-view.seam?documentId=mfrxilrtg4ytcnrwga2doltqmfyc4nbqgyztgobrge" TargetMode="External"/><Relationship Id="rId5" Type="http://schemas.openxmlformats.org/officeDocument/2006/relationships/webSettings" Target="webSettings.xml"/><Relationship Id="rId10" Type="http://schemas.openxmlformats.org/officeDocument/2006/relationships/hyperlink" Target="https://sip.legalis.pl/document-view.seam?documentId=mfrxilrtg4ytcnrwga2doltqmfyc4nbqgyztgobsgu" TargetMode="External"/><Relationship Id="rId4" Type="http://schemas.openxmlformats.org/officeDocument/2006/relationships/settings" Target="settings.xml"/><Relationship Id="rId9" Type="http://schemas.openxmlformats.org/officeDocument/2006/relationships/hyperlink" Target="https://sip.legalis.pl/document-view.seam?documentId=mrswglrtguytimrvgqzto"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DDB1E9-D0ED-4A8C-8B65-FE1CE18859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1161</Words>
  <Characters>6971</Characters>
  <Application>Microsoft Office Word</Application>
  <DocSecurity>0</DocSecurity>
  <Lines>58</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oem</dc:creator>
  <cp:lastModifiedBy>Użytkownik systemu Windows</cp:lastModifiedBy>
  <cp:revision>4</cp:revision>
  <dcterms:created xsi:type="dcterms:W3CDTF">2019-05-10T10:16:00Z</dcterms:created>
  <dcterms:modified xsi:type="dcterms:W3CDTF">2019-05-10T10:29:00Z</dcterms:modified>
</cp:coreProperties>
</file>